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6573B">
      <w:pPr>
        <w:jc w:val="center"/>
        <w:rPr>
          <w:b/>
          <w:sz w:val="32"/>
          <w:szCs w:val="32"/>
          <w:highlight w:val="none"/>
        </w:rPr>
      </w:pPr>
      <w:r>
        <w:rPr>
          <w:rFonts w:hint="eastAsia"/>
          <w:b/>
          <w:sz w:val="32"/>
          <w:szCs w:val="32"/>
          <w:highlight w:val="none"/>
          <w:lang w:val="en-US" w:eastAsia="zh-CN"/>
        </w:rPr>
        <w:t xml:space="preserve"> </w:t>
      </w:r>
    </w:p>
    <w:p w14:paraId="190021A5">
      <w:pPr>
        <w:jc w:val="center"/>
        <w:rPr>
          <w:b/>
          <w:sz w:val="32"/>
          <w:szCs w:val="32"/>
          <w:highlight w:val="none"/>
        </w:rPr>
      </w:pPr>
    </w:p>
    <w:p w14:paraId="259D9693">
      <w:pPr>
        <w:jc w:val="center"/>
        <w:rPr>
          <w:rFonts w:hint="eastAsia" w:ascii="宋体" w:hAnsi="宋体" w:eastAsia="宋体"/>
          <w:b/>
          <w:sz w:val="52"/>
          <w:szCs w:val="52"/>
          <w:highlight w:val="none"/>
          <w:lang w:val="en-US" w:eastAsia="zh-CN"/>
        </w:rPr>
      </w:pPr>
      <w:r>
        <w:rPr>
          <w:rFonts w:hint="eastAsia" w:ascii="宋体" w:hAnsi="宋体" w:eastAsia="宋体"/>
          <w:b/>
          <w:sz w:val="52"/>
          <w:szCs w:val="52"/>
          <w:highlight w:val="none"/>
        </w:rPr>
        <w:t>《重型汽车报》202</w:t>
      </w:r>
      <w:r>
        <w:rPr>
          <w:rFonts w:hint="eastAsia" w:ascii="宋体" w:hAnsi="宋体" w:eastAsia="宋体"/>
          <w:b/>
          <w:sz w:val="52"/>
          <w:szCs w:val="52"/>
          <w:highlight w:val="none"/>
          <w:lang w:val="en-US" w:eastAsia="zh-CN"/>
        </w:rPr>
        <w:t>7</w:t>
      </w:r>
      <w:r>
        <w:rPr>
          <w:rFonts w:hint="eastAsia" w:ascii="宋体" w:hAnsi="宋体" w:eastAsia="宋体"/>
          <w:b/>
          <w:sz w:val="52"/>
          <w:szCs w:val="52"/>
          <w:highlight w:val="none"/>
        </w:rPr>
        <w:t>年印刷</w:t>
      </w:r>
      <w:r>
        <w:rPr>
          <w:rFonts w:hint="eastAsia" w:ascii="宋体" w:hAnsi="宋体" w:eastAsia="宋体"/>
          <w:b/>
          <w:sz w:val="52"/>
          <w:szCs w:val="52"/>
          <w:highlight w:val="none"/>
          <w:lang w:val="en-US" w:eastAsia="zh-CN"/>
        </w:rPr>
        <w:t>项目</w:t>
      </w:r>
    </w:p>
    <w:p w14:paraId="6D18B2EE">
      <w:pPr>
        <w:pStyle w:val="6"/>
        <w:rPr>
          <w:rFonts w:hint="eastAsia" w:ascii="宋体" w:hAnsi="宋体" w:eastAsia="宋体"/>
          <w:b/>
          <w:sz w:val="44"/>
          <w:szCs w:val="44"/>
          <w:highlight w:val="none"/>
          <w:lang w:val="en-US" w:eastAsia="zh-CN"/>
        </w:rPr>
      </w:pPr>
    </w:p>
    <w:p w14:paraId="18CBF8EA">
      <w:pPr>
        <w:ind w:right="280"/>
        <w:jc w:val="center"/>
        <w:rPr>
          <w:sz w:val="28"/>
          <w:szCs w:val="28"/>
          <w:highlight w:val="none"/>
        </w:rPr>
      </w:pPr>
    </w:p>
    <w:p w14:paraId="3C3C44EA">
      <w:pPr>
        <w:jc w:val="center"/>
        <w:rPr>
          <w:rFonts w:hint="eastAsia" w:ascii="宋体" w:hAnsi="宋体" w:cs="宋体"/>
          <w:b/>
          <w:bCs/>
          <w:sz w:val="72"/>
          <w:szCs w:val="72"/>
          <w:highlight w:val="none"/>
        </w:rPr>
      </w:pPr>
      <w:r>
        <w:rPr>
          <w:rFonts w:hint="eastAsia" w:ascii="宋体" w:hAnsi="宋体" w:cs="宋体"/>
          <w:b/>
          <w:bCs/>
          <w:sz w:val="72"/>
          <w:szCs w:val="72"/>
          <w:highlight w:val="none"/>
        </w:rPr>
        <w:t>招</w:t>
      </w:r>
    </w:p>
    <w:p w14:paraId="2C3D2619">
      <w:pPr>
        <w:jc w:val="center"/>
        <w:rPr>
          <w:rFonts w:hint="eastAsia" w:ascii="宋体" w:hAnsi="宋体" w:cs="宋体"/>
          <w:b/>
          <w:bCs/>
          <w:sz w:val="72"/>
          <w:szCs w:val="72"/>
          <w:highlight w:val="none"/>
        </w:rPr>
      </w:pPr>
      <w:r>
        <w:rPr>
          <w:rFonts w:hint="eastAsia" w:ascii="宋体" w:hAnsi="宋体" w:cs="宋体"/>
          <w:b/>
          <w:bCs/>
          <w:sz w:val="72"/>
          <w:szCs w:val="72"/>
          <w:highlight w:val="none"/>
        </w:rPr>
        <w:t>标</w:t>
      </w:r>
    </w:p>
    <w:p w14:paraId="33083988">
      <w:pPr>
        <w:jc w:val="center"/>
        <w:rPr>
          <w:rFonts w:hint="eastAsia" w:ascii="宋体" w:hAnsi="宋体" w:cs="宋体"/>
          <w:b/>
          <w:bCs/>
          <w:sz w:val="72"/>
          <w:szCs w:val="72"/>
          <w:highlight w:val="none"/>
        </w:rPr>
      </w:pPr>
      <w:r>
        <w:rPr>
          <w:rFonts w:hint="eastAsia" w:ascii="宋体" w:hAnsi="宋体" w:cs="宋体"/>
          <w:b/>
          <w:bCs/>
          <w:sz w:val="72"/>
          <w:szCs w:val="72"/>
          <w:highlight w:val="none"/>
        </w:rPr>
        <w:t>文</w:t>
      </w:r>
    </w:p>
    <w:p w14:paraId="6418E5FF">
      <w:pPr>
        <w:jc w:val="center"/>
        <w:rPr>
          <w:rFonts w:ascii="宋体" w:hAnsi="宋体" w:cs="宋体"/>
          <w:b/>
          <w:bCs/>
          <w:sz w:val="72"/>
          <w:szCs w:val="72"/>
          <w:highlight w:val="none"/>
        </w:rPr>
      </w:pPr>
      <w:r>
        <w:rPr>
          <w:rFonts w:hint="eastAsia" w:ascii="宋体" w:hAnsi="宋体" w:cs="宋体"/>
          <w:b/>
          <w:bCs/>
          <w:sz w:val="72"/>
          <w:szCs w:val="72"/>
          <w:highlight w:val="none"/>
        </w:rPr>
        <w:t>件</w:t>
      </w:r>
    </w:p>
    <w:p w14:paraId="5A36488A">
      <w:pPr>
        <w:jc w:val="center"/>
        <w:rPr>
          <w:b/>
          <w:sz w:val="32"/>
          <w:szCs w:val="32"/>
          <w:highlight w:val="none"/>
        </w:rPr>
      </w:pPr>
    </w:p>
    <w:p w14:paraId="41B91C00">
      <w:pPr>
        <w:jc w:val="center"/>
        <w:rPr>
          <w:b/>
          <w:sz w:val="32"/>
          <w:szCs w:val="32"/>
          <w:highlight w:val="none"/>
        </w:rPr>
      </w:pPr>
    </w:p>
    <w:p w14:paraId="75B4DC66">
      <w:pPr>
        <w:jc w:val="both"/>
        <w:rPr>
          <w:b/>
          <w:sz w:val="32"/>
          <w:szCs w:val="32"/>
          <w:highlight w:val="none"/>
        </w:rPr>
      </w:pPr>
    </w:p>
    <w:p w14:paraId="0F0C059F">
      <w:pPr>
        <w:jc w:val="center"/>
        <w:rPr>
          <w:b/>
          <w:sz w:val="32"/>
          <w:szCs w:val="32"/>
          <w:highlight w:val="none"/>
        </w:rPr>
      </w:pPr>
    </w:p>
    <w:p w14:paraId="58D5542A">
      <w:pPr>
        <w:jc w:val="center"/>
        <w:rPr>
          <w:b/>
          <w:sz w:val="32"/>
          <w:szCs w:val="32"/>
          <w:highlight w:val="none"/>
        </w:rPr>
      </w:pPr>
      <w:r>
        <w:rPr>
          <w:rFonts w:hint="eastAsia" w:ascii="宋体" w:hAnsi="宋体" w:cs="宋体"/>
          <w:b/>
          <w:bCs/>
          <w:kern w:val="0"/>
          <w:sz w:val="32"/>
          <w:szCs w:val="32"/>
        </w:rPr>
        <w:t>项目编号：ZBGL2026100017</w:t>
      </w:r>
    </w:p>
    <w:p w14:paraId="05FA1754">
      <w:pPr>
        <w:jc w:val="center"/>
        <w:rPr>
          <w:b/>
          <w:sz w:val="32"/>
          <w:szCs w:val="32"/>
          <w:highlight w:val="none"/>
        </w:rPr>
      </w:pPr>
    </w:p>
    <w:p w14:paraId="4105A501">
      <w:pPr>
        <w:jc w:val="center"/>
        <w:rPr>
          <w:b/>
          <w:sz w:val="32"/>
          <w:szCs w:val="32"/>
          <w:highlight w:val="none"/>
        </w:rPr>
      </w:pPr>
    </w:p>
    <w:p w14:paraId="411CACEA">
      <w:pPr>
        <w:jc w:val="center"/>
        <w:rPr>
          <w:b/>
          <w:sz w:val="32"/>
          <w:szCs w:val="32"/>
          <w:highlight w:val="none"/>
        </w:rPr>
      </w:pPr>
    </w:p>
    <w:p w14:paraId="282B53E4">
      <w:pPr>
        <w:ind w:firstLine="1928" w:firstLineChars="600"/>
        <w:jc w:val="both"/>
        <w:rPr>
          <w:rFonts w:ascii="宋体" w:hAnsi="宋体" w:eastAsia="宋体"/>
          <w:b/>
          <w:sz w:val="32"/>
          <w:szCs w:val="32"/>
          <w:highlight w:val="none"/>
        </w:rPr>
      </w:pPr>
      <w:r>
        <w:rPr>
          <w:rFonts w:hint="eastAsia" w:ascii="宋体" w:hAnsi="宋体" w:eastAsia="宋体"/>
          <w:b/>
          <w:sz w:val="32"/>
          <w:szCs w:val="32"/>
          <w:highlight w:val="none"/>
        </w:rPr>
        <w:t>招标人：中国重汽集团济南动力有限公司</w:t>
      </w:r>
    </w:p>
    <w:p w14:paraId="3944C84E">
      <w:pPr>
        <w:ind w:firstLine="3855" w:firstLineChars="1200"/>
        <w:jc w:val="both"/>
        <w:rPr>
          <w:rFonts w:hint="default" w:ascii="宋体" w:hAnsi="宋体" w:eastAsia="宋体"/>
          <w:b/>
          <w:sz w:val="32"/>
          <w:szCs w:val="32"/>
          <w:highlight w:val="none"/>
          <w:lang w:val="en-US" w:eastAsia="zh-CN"/>
        </w:rPr>
      </w:pPr>
      <w:r>
        <w:rPr>
          <w:rFonts w:hint="eastAsia" w:ascii="宋体" w:hAnsi="宋体" w:eastAsia="宋体"/>
          <w:b/>
          <w:sz w:val="32"/>
          <w:szCs w:val="32"/>
          <w:highlight w:val="none"/>
          <w:lang w:val="en-US" w:eastAsia="zh-CN"/>
        </w:rPr>
        <w:t>2026年10月</w:t>
      </w:r>
    </w:p>
    <w:p w14:paraId="59485B0F">
      <w:pPr>
        <w:rPr>
          <w:rFonts w:ascii="仿宋_GB2312" w:eastAsia="仿宋_GB2312"/>
          <w:sz w:val="28"/>
          <w:szCs w:val="28"/>
          <w:highlight w:val="none"/>
        </w:rPr>
      </w:pPr>
    </w:p>
    <w:p w14:paraId="7C565B80">
      <w:pPr>
        <w:pStyle w:val="14"/>
        <w:tabs>
          <w:tab w:val="left" w:pos="862"/>
        </w:tabs>
        <w:spacing w:line="460" w:lineRule="exact"/>
        <w:ind w:left="142" w:firstLine="643"/>
        <w:rPr>
          <w:rFonts w:hint="eastAsia" w:ascii="黑体" w:hAnsi="黑体" w:eastAsia="黑体" w:cs="黑体"/>
          <w:b/>
          <w:sz w:val="28"/>
          <w:szCs w:val="28"/>
          <w:highlight w:val="none"/>
        </w:rPr>
      </w:pPr>
      <w:r>
        <w:rPr>
          <w:rFonts w:hint="eastAsia" w:ascii="黑体" w:hAnsi="黑体" w:eastAsia="黑体" w:cs="黑体"/>
          <w:b/>
          <w:sz w:val="28"/>
          <w:szCs w:val="28"/>
          <w:highlight w:val="none"/>
        </w:rPr>
        <w:t>一、投标须知</w:t>
      </w:r>
    </w:p>
    <w:p w14:paraId="7909F1C9">
      <w:pPr>
        <w:pStyle w:val="14"/>
        <w:spacing w:line="460" w:lineRule="exact"/>
        <w:ind w:firstLine="64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1.招标人：中国重汽集团济南动力有限公司</w:t>
      </w:r>
    </w:p>
    <w:p w14:paraId="1E0E3127">
      <w:pPr>
        <w:ind w:firstLine="420" w:firstLineChars="200"/>
        <w:jc w:val="both"/>
        <w:rPr>
          <w:rFonts w:hint="eastAsia" w:ascii="宋体" w:hAnsi="宋体" w:eastAsia="宋体" w:cs="宋体"/>
          <w:b/>
          <w:sz w:val="21"/>
          <w:szCs w:val="21"/>
          <w:highlight w:val="none"/>
        </w:rPr>
      </w:pPr>
      <w:r>
        <w:rPr>
          <w:rFonts w:hint="eastAsia" w:ascii="宋体" w:hAnsi="宋体" w:eastAsia="宋体" w:cs="宋体"/>
          <w:sz w:val="21"/>
          <w:szCs w:val="21"/>
          <w:highlight w:val="none"/>
        </w:rPr>
        <w:t>2.项目名称：</w:t>
      </w:r>
      <w:r>
        <w:rPr>
          <w:rFonts w:hint="eastAsia" w:ascii="宋体" w:hAnsi="宋体" w:eastAsia="宋体" w:cs="宋体"/>
          <w:kern w:val="2"/>
          <w:sz w:val="21"/>
          <w:szCs w:val="21"/>
          <w:highlight w:val="none"/>
          <w:lang w:val="en-US" w:eastAsia="zh-CN" w:bidi="ar-SA"/>
        </w:rPr>
        <w:t>《重型汽车报》2027年印刷项目</w:t>
      </w:r>
    </w:p>
    <w:p w14:paraId="70B100EA">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内容：</w:t>
      </w:r>
    </w:p>
    <w:tbl>
      <w:tblPr>
        <w:tblStyle w:val="12"/>
        <w:tblW w:w="0" w:type="auto"/>
        <w:tblInd w:w="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7389"/>
      </w:tblGrid>
      <w:tr w14:paraId="2121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136" w:type="dxa"/>
          </w:tcPr>
          <w:p w14:paraId="7DF81E8A">
            <w:pPr>
              <w:spacing w:line="360" w:lineRule="auto"/>
              <w:ind w:firstLine="210" w:firstLineChars="1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印刷品名称</w:t>
            </w:r>
          </w:p>
        </w:tc>
        <w:tc>
          <w:tcPr>
            <w:tcW w:w="7389" w:type="dxa"/>
            <w:vAlign w:val="center"/>
          </w:tcPr>
          <w:p w14:paraId="55CC30B2">
            <w:pPr>
              <w:spacing w:line="360" w:lineRule="auto"/>
              <w:ind w:firstLine="420" w:firstLineChars="2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《重型汽车报》</w:t>
            </w:r>
          </w:p>
        </w:tc>
      </w:tr>
      <w:tr w14:paraId="284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36" w:type="dxa"/>
          </w:tcPr>
          <w:p w14:paraId="6890CD2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版数或开本</w:t>
            </w:r>
          </w:p>
        </w:tc>
        <w:tc>
          <w:tcPr>
            <w:tcW w:w="7389" w:type="dxa"/>
          </w:tcPr>
          <w:p w14:paraId="1EE285B9">
            <w:pPr>
              <w:spacing w:line="360" w:lineRule="auto"/>
              <w:ind w:firstLine="420" w:firstLineChars="2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对开四版</w:t>
            </w:r>
          </w:p>
        </w:tc>
      </w:tr>
      <w:tr w14:paraId="67D1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2136" w:type="dxa"/>
          </w:tcPr>
          <w:p w14:paraId="4FB838F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印刷数量</w:t>
            </w:r>
          </w:p>
        </w:tc>
        <w:tc>
          <w:tcPr>
            <w:tcW w:w="7389" w:type="dxa"/>
          </w:tcPr>
          <w:p w14:paraId="1698519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11784份/期</w:t>
            </w:r>
          </w:p>
        </w:tc>
      </w:tr>
      <w:tr w14:paraId="3DB9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2136" w:type="dxa"/>
          </w:tcPr>
          <w:p w14:paraId="7DDAC43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印刷用纸</w:t>
            </w:r>
          </w:p>
        </w:tc>
        <w:tc>
          <w:tcPr>
            <w:tcW w:w="7389" w:type="dxa"/>
          </w:tcPr>
          <w:p w14:paraId="275716F7">
            <w:pPr>
              <w:spacing w:line="360" w:lineRule="auto"/>
              <w:ind w:firstLine="420" w:firstLineChars="2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新闻纸</w:t>
            </w:r>
          </w:p>
        </w:tc>
      </w:tr>
      <w:tr w14:paraId="59B8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2136" w:type="dxa"/>
          </w:tcPr>
          <w:p w14:paraId="07F180C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印刷期数</w:t>
            </w:r>
          </w:p>
        </w:tc>
        <w:tc>
          <w:tcPr>
            <w:tcW w:w="7389" w:type="dxa"/>
          </w:tcPr>
          <w:p w14:paraId="3C0C9A3E">
            <w:pPr>
              <w:spacing w:line="360" w:lineRule="auto"/>
              <w:ind w:firstLine="420" w:firstLineChars="20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52</w:t>
            </w:r>
            <w:r>
              <w:rPr>
                <w:rFonts w:hint="eastAsia" w:ascii="宋体" w:hAnsi="宋体" w:eastAsia="宋体" w:cs="宋体"/>
                <w:sz w:val="21"/>
                <w:szCs w:val="21"/>
                <w:highlight w:val="none"/>
                <w:lang w:val="en-US" w:eastAsia="zh-CN"/>
              </w:rPr>
              <w:t>期</w:t>
            </w:r>
          </w:p>
        </w:tc>
      </w:tr>
      <w:tr w14:paraId="247D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2136" w:type="dxa"/>
          </w:tcPr>
          <w:p w14:paraId="645CAD5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印刷色别</w:t>
            </w:r>
          </w:p>
        </w:tc>
        <w:tc>
          <w:tcPr>
            <w:tcW w:w="7389" w:type="dxa"/>
          </w:tcPr>
          <w:p w14:paraId="2518B4AD">
            <w:pPr>
              <w:spacing w:line="360" w:lineRule="auto"/>
              <w:ind w:firstLine="420" w:firstLineChars="2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彩色印刷</w:t>
            </w:r>
          </w:p>
        </w:tc>
      </w:tr>
      <w:tr w14:paraId="5A79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2136" w:type="dxa"/>
          </w:tcPr>
          <w:p w14:paraId="27ACB82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包装方式</w:t>
            </w:r>
          </w:p>
        </w:tc>
        <w:tc>
          <w:tcPr>
            <w:tcW w:w="7389" w:type="dxa"/>
          </w:tcPr>
          <w:p w14:paraId="35792604">
            <w:pPr>
              <w:spacing w:line="360" w:lineRule="auto"/>
              <w:ind w:firstLine="420" w:firstLineChars="20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打捆</w:t>
            </w:r>
          </w:p>
        </w:tc>
      </w:tr>
      <w:tr w14:paraId="2F1A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2136" w:type="dxa"/>
          </w:tcPr>
          <w:p w14:paraId="260F8AC8">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发行方式</w:t>
            </w:r>
          </w:p>
        </w:tc>
        <w:tc>
          <w:tcPr>
            <w:tcW w:w="7389" w:type="dxa"/>
          </w:tcPr>
          <w:p w14:paraId="0B6F7F61">
            <w:pPr>
              <w:spacing w:line="360" w:lineRule="auto"/>
              <w:ind w:firstLine="420" w:firstLineChars="20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寄送到</w:t>
            </w:r>
            <w:r>
              <w:rPr>
                <w:rFonts w:ascii="宋体" w:hAnsi="宋体" w:eastAsia="宋体" w:cs="宋体"/>
                <w:sz w:val="21"/>
                <w:szCs w:val="21"/>
              </w:rPr>
              <w:t>集团公司和济南地区二级单位</w:t>
            </w:r>
          </w:p>
        </w:tc>
      </w:tr>
      <w:tr w14:paraId="1AF2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5" w:hRule="atLeast"/>
        </w:trPr>
        <w:tc>
          <w:tcPr>
            <w:tcW w:w="2136" w:type="dxa"/>
            <w:vAlign w:val="center"/>
          </w:tcPr>
          <w:p w14:paraId="524907AA">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质量及要求</w:t>
            </w:r>
          </w:p>
        </w:tc>
        <w:tc>
          <w:tcPr>
            <w:tcW w:w="7389" w:type="dxa"/>
            <w:vAlign w:val="top"/>
          </w:tcPr>
          <w:p w14:paraId="51F23096">
            <w:pPr>
              <w:pStyle w:val="14"/>
              <w:numPr>
                <w:ilvl w:val="0"/>
                <w:numId w:val="0"/>
              </w:numPr>
              <w:spacing w:line="460" w:lineRule="exac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乙方保证根据甲方提供的稿件、图片等相关资料，按照甲方编辑人员的要求进行排版、初次校对、修改，将初校后的报纸版面小样反馈给甲方编辑人员，配合甲方进行相关修改，定版后甲方编辑人员签字付印，乙方确保保质保量完成《重型汽车报》的印刷并在次日早完成交付。</w:t>
            </w:r>
          </w:p>
          <w:p w14:paraId="5A02DBA2">
            <w:pPr>
              <w:pStyle w:val="14"/>
              <w:numPr>
                <w:ilvl w:val="0"/>
                <w:numId w:val="0"/>
              </w:numPr>
              <w:spacing w:line="460" w:lineRule="exac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乙方承印印刷品应以国家出版总署有关报纸印刷质量规定为准，版面清晰、美观，色彩鲜亮，文字清楚，图片网点层次分明。报纸墨色均匀饱满，文字清晰，无重影，无明显缺笔、断划、糊字及坏字，各版保持一致，符合国标要求。</w:t>
            </w:r>
          </w:p>
          <w:p w14:paraId="3C8E8606">
            <w:pPr>
              <w:pStyle w:val="14"/>
              <w:numPr>
                <w:ilvl w:val="0"/>
                <w:numId w:val="0"/>
              </w:numPr>
              <w:spacing w:line="460" w:lineRule="exac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3、交付时乙方保证报纸外观整洁干净，无脏物、压痕、叠影，无边角卷折现象且严格遵守协议所订用纸要求，保质保量，不得掺用协议约定外纸张。</w:t>
            </w:r>
          </w:p>
        </w:tc>
      </w:tr>
    </w:tbl>
    <w:p w14:paraId="1B66BC9C">
      <w:pPr>
        <w:pStyle w:val="14"/>
        <w:spacing w:line="460" w:lineRule="exact"/>
        <w:ind w:firstLine="64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4.项目周期：202</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年1月</w:t>
      </w:r>
      <w:r>
        <w:rPr>
          <w:rFonts w:hint="eastAsia" w:ascii="宋体" w:hAnsi="宋体" w:eastAsia="宋体" w:cs="宋体"/>
          <w:sz w:val="21"/>
          <w:szCs w:val="21"/>
          <w:highlight w:val="none"/>
          <w:lang w:val="en-US" w:eastAsia="zh-CN"/>
        </w:rPr>
        <w:t>1日</w:t>
      </w:r>
      <w:r>
        <w:rPr>
          <w:rFonts w:hint="eastAsia" w:ascii="宋体" w:hAnsi="宋体" w:eastAsia="宋体" w:cs="宋体"/>
          <w:sz w:val="21"/>
          <w:szCs w:val="21"/>
          <w:highlight w:val="none"/>
        </w:rPr>
        <w:t>-202</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年12月</w:t>
      </w:r>
      <w:r>
        <w:rPr>
          <w:rFonts w:hint="eastAsia" w:ascii="宋体" w:hAnsi="宋体" w:eastAsia="宋体" w:cs="宋体"/>
          <w:sz w:val="21"/>
          <w:szCs w:val="21"/>
          <w:highlight w:val="none"/>
          <w:lang w:val="en-US" w:eastAsia="zh-CN"/>
        </w:rPr>
        <w:t>31日</w:t>
      </w:r>
    </w:p>
    <w:p w14:paraId="67B40506">
      <w:pPr>
        <w:pStyle w:val="14"/>
        <w:spacing w:line="460" w:lineRule="exact"/>
        <w:ind w:firstLine="64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5.报价方式：（人民币元）报价应包括服务项目中所包含的所有费用（包含但不限于：</w:t>
      </w:r>
      <w:r>
        <w:rPr>
          <w:rFonts w:hint="eastAsia" w:ascii="宋体" w:hAnsi="宋体" w:eastAsia="宋体" w:cs="宋体"/>
          <w:color w:val="333333"/>
          <w:sz w:val="21"/>
          <w:szCs w:val="21"/>
          <w:highlight w:val="none"/>
          <w:lang w:val="en-US" w:eastAsia="zh-CN"/>
        </w:rPr>
        <w:t>排版</w:t>
      </w:r>
      <w:r>
        <w:rPr>
          <w:rFonts w:hint="eastAsia" w:ascii="宋体" w:hAnsi="宋体" w:eastAsia="宋体" w:cs="宋体"/>
          <w:color w:val="333333"/>
          <w:sz w:val="21"/>
          <w:szCs w:val="21"/>
          <w:highlight w:val="none"/>
        </w:rPr>
        <w:t>、</w:t>
      </w:r>
      <w:r>
        <w:rPr>
          <w:rFonts w:hint="eastAsia" w:ascii="宋体" w:hAnsi="宋体" w:eastAsia="宋体" w:cs="宋体"/>
          <w:color w:val="333333"/>
          <w:sz w:val="21"/>
          <w:szCs w:val="21"/>
          <w:highlight w:val="none"/>
          <w:lang w:val="en-US" w:eastAsia="zh-CN"/>
        </w:rPr>
        <w:t>印刷</w:t>
      </w:r>
      <w:r>
        <w:rPr>
          <w:rFonts w:hint="eastAsia" w:ascii="宋体" w:hAnsi="宋体" w:eastAsia="宋体" w:cs="宋体"/>
          <w:color w:val="333333"/>
          <w:sz w:val="21"/>
          <w:szCs w:val="21"/>
          <w:highlight w:val="none"/>
        </w:rPr>
        <w:t>、</w:t>
      </w:r>
      <w:r>
        <w:rPr>
          <w:rFonts w:hint="eastAsia" w:ascii="宋体" w:hAnsi="宋体" w:eastAsia="宋体" w:cs="宋体"/>
          <w:color w:val="333333"/>
          <w:sz w:val="21"/>
          <w:szCs w:val="21"/>
          <w:highlight w:val="none"/>
          <w:lang w:val="en-US" w:eastAsia="zh-CN"/>
        </w:rPr>
        <w:t>寄送</w:t>
      </w:r>
      <w:r>
        <w:rPr>
          <w:rFonts w:hint="eastAsia" w:ascii="宋体" w:hAnsi="宋体" w:eastAsia="宋体" w:cs="宋体"/>
          <w:sz w:val="21"/>
          <w:szCs w:val="21"/>
          <w:highlight w:val="none"/>
        </w:rPr>
        <w:t>以及工商、税务、利润及人工等全部费用），注意报价需列清税率、含税数、不含税数</w:t>
      </w:r>
      <w:r>
        <w:rPr>
          <w:rFonts w:hint="eastAsia" w:ascii="宋体" w:hAnsi="宋体" w:eastAsia="宋体" w:cs="宋体"/>
          <w:sz w:val="21"/>
          <w:szCs w:val="21"/>
          <w:highlight w:val="none"/>
          <w:lang w:eastAsia="zh-CN"/>
        </w:rPr>
        <w:t>。</w:t>
      </w:r>
    </w:p>
    <w:p w14:paraId="38F8874D">
      <w:pPr>
        <w:pStyle w:val="14"/>
        <w:spacing w:line="460" w:lineRule="exact"/>
        <w:ind w:firstLine="64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拟开标</w:t>
      </w:r>
      <w:r>
        <w:rPr>
          <w:rFonts w:hint="eastAsia" w:ascii="宋体" w:hAnsi="宋体" w:eastAsia="宋体" w:cs="宋体"/>
          <w:sz w:val="21"/>
          <w:szCs w:val="21"/>
          <w:highlight w:val="none"/>
        </w:rPr>
        <w:t>地点</w:t>
      </w:r>
      <w:r>
        <w:rPr>
          <w:rFonts w:hint="eastAsia" w:ascii="宋体" w:hAnsi="宋体" w:eastAsia="宋体" w:cs="宋体"/>
          <w:sz w:val="21"/>
          <w:szCs w:val="21"/>
          <w:highlight w:val="none"/>
          <w:lang w:eastAsia="zh-CN"/>
        </w:rPr>
        <w:t>：</w:t>
      </w:r>
      <w:r>
        <w:rPr>
          <w:rFonts w:hint="eastAsia" w:ascii="宋体" w:hAnsi="Courier New" w:eastAsia="宋体" w:cs="Times New Roman"/>
          <w:kern w:val="2"/>
          <w:sz w:val="21"/>
          <w:lang w:val="en-US" w:eastAsia="zh-CN" w:bidi="ar-SA"/>
        </w:rPr>
        <w:t>济南市</w:t>
      </w:r>
      <w:r>
        <w:rPr>
          <w:rFonts w:hint="eastAsia" w:cs="Times New Roman"/>
          <w:kern w:val="2"/>
          <w:sz w:val="21"/>
          <w:lang w:val="en-US" w:eastAsia="zh-CN" w:bidi="ar-SA"/>
        </w:rPr>
        <w:t>历城区</w:t>
      </w:r>
      <w:r>
        <w:rPr>
          <w:rFonts w:hint="eastAsia" w:ascii="宋体" w:hAnsi="Courier New" w:eastAsia="宋体" w:cs="Times New Roman"/>
          <w:kern w:val="2"/>
          <w:sz w:val="21"/>
          <w:lang w:val="en-US" w:eastAsia="zh-CN" w:bidi="ar-SA"/>
        </w:rPr>
        <w:t>华奥路777号</w:t>
      </w:r>
      <w:r>
        <w:rPr>
          <w:rFonts w:hint="eastAsia" w:hAnsi="宋体" w:cs="宋体"/>
          <w:b w:val="0"/>
          <w:bCs w:val="0"/>
          <w:sz w:val="21"/>
          <w:szCs w:val="21"/>
          <w:highlight w:val="none"/>
          <w:lang w:val="en-US" w:eastAsia="zh-CN"/>
        </w:rPr>
        <w:t>重汽科技大厦</w:t>
      </w:r>
    </w:p>
    <w:p w14:paraId="578A9E3F">
      <w:pPr>
        <w:pStyle w:val="14"/>
        <w:spacing w:line="460" w:lineRule="exact"/>
        <w:ind w:firstLine="64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7.拟开标</w:t>
      </w:r>
      <w:r>
        <w:rPr>
          <w:rFonts w:hint="eastAsia" w:ascii="宋体" w:hAnsi="宋体" w:eastAsia="宋体" w:cs="宋体"/>
          <w:sz w:val="21"/>
          <w:szCs w:val="21"/>
          <w:highlight w:val="none"/>
        </w:rPr>
        <w:t>时间</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lang w:val="en-US" w:eastAsia="zh-CN"/>
        </w:rPr>
        <w:t>2026年10月26日9:30:00</w:t>
      </w:r>
    </w:p>
    <w:p w14:paraId="39CEEEE2">
      <w:pPr>
        <w:pStyle w:val="14"/>
        <w:spacing w:line="460" w:lineRule="exact"/>
        <w:ind w:firstLine="64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应标截止时间：</w:t>
      </w:r>
      <w:r>
        <w:rPr>
          <w:rFonts w:hint="eastAsia" w:ascii="宋体" w:hAnsi="宋体" w:eastAsia="宋体" w:cs="宋体"/>
          <w:sz w:val="21"/>
          <w:szCs w:val="21"/>
          <w:highlight w:val="none"/>
          <w:u w:val="single"/>
          <w:lang w:val="en-US" w:eastAsia="zh-CN"/>
        </w:rPr>
        <w:t>2026</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19</w:t>
      </w:r>
      <w:r>
        <w:rPr>
          <w:rFonts w:hint="eastAsia" w:ascii="宋体" w:hAnsi="宋体" w:eastAsia="宋体" w:cs="宋体"/>
          <w:sz w:val="21"/>
          <w:szCs w:val="21"/>
          <w:highlight w:val="none"/>
          <w:u w:val="single"/>
        </w:rPr>
        <w:t>日</w:t>
      </w:r>
      <w:r>
        <w:rPr>
          <w:rFonts w:hint="eastAsia" w:ascii="宋体" w:hAnsi="宋体" w:eastAsia="宋体" w:cs="宋体"/>
          <w:sz w:val="21"/>
          <w:szCs w:val="21"/>
          <w:highlight w:val="none"/>
          <w:u w:val="single"/>
          <w:lang w:val="en-US" w:eastAsia="zh-CN"/>
        </w:rPr>
        <w:t>17:00:00</w:t>
      </w:r>
    </w:p>
    <w:p w14:paraId="7757099C">
      <w:pPr>
        <w:pStyle w:val="14"/>
        <w:spacing w:line="460" w:lineRule="exact"/>
        <w:ind w:firstLine="64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投标截止时间：</w:t>
      </w:r>
      <w:r>
        <w:rPr>
          <w:rFonts w:hint="eastAsia" w:ascii="宋体" w:hAnsi="宋体" w:eastAsia="宋体" w:cs="宋体"/>
          <w:sz w:val="21"/>
          <w:szCs w:val="21"/>
          <w:highlight w:val="none"/>
          <w:u w:val="single"/>
          <w:lang w:val="en-US" w:eastAsia="zh-CN"/>
        </w:rPr>
        <w:t>2026</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25</w:t>
      </w:r>
      <w:r>
        <w:rPr>
          <w:rFonts w:hint="eastAsia" w:ascii="宋体" w:hAnsi="宋体" w:eastAsia="宋体" w:cs="宋体"/>
          <w:sz w:val="21"/>
          <w:szCs w:val="21"/>
          <w:highlight w:val="none"/>
          <w:u w:val="single"/>
        </w:rPr>
        <w:t>日</w:t>
      </w:r>
      <w:r>
        <w:rPr>
          <w:rFonts w:hint="eastAsia" w:ascii="宋体" w:hAnsi="宋体" w:eastAsia="宋体" w:cs="宋体"/>
          <w:sz w:val="21"/>
          <w:szCs w:val="21"/>
          <w:highlight w:val="none"/>
          <w:u w:val="single"/>
          <w:lang w:val="en-US" w:eastAsia="zh-CN"/>
        </w:rPr>
        <w:t xml:space="preserve"> 17:00:00</w:t>
      </w:r>
    </w:p>
    <w:p w14:paraId="2881BACE">
      <w:pPr>
        <w:pStyle w:val="14"/>
        <w:numPr>
          <w:ilvl w:val="0"/>
          <w:numId w:val="4"/>
        </w:numPr>
        <w:spacing w:line="460" w:lineRule="exact"/>
        <w:ind w:firstLine="64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保证金</w:t>
      </w:r>
    </w:p>
    <w:p w14:paraId="75EDF02B">
      <w:pPr>
        <w:tabs>
          <w:tab w:val="left" w:pos="932"/>
        </w:tabs>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投标保证金的金额：人民币5000.00元</w:t>
      </w:r>
    </w:p>
    <w:p w14:paraId="71E0BFAC">
      <w:pPr>
        <w:tabs>
          <w:tab w:val="left" w:pos="932"/>
        </w:tabs>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开户名称：中国重汽集团济南动力有限公司</w:t>
      </w:r>
    </w:p>
    <w:p w14:paraId="6799F47C">
      <w:pPr>
        <w:tabs>
          <w:tab w:val="left" w:pos="932"/>
        </w:tabs>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开户银行：中国建设银行济南市天桥区支行</w:t>
      </w:r>
    </w:p>
    <w:p w14:paraId="3EA6EF29">
      <w:pPr>
        <w:tabs>
          <w:tab w:val="left" w:pos="932"/>
        </w:tabs>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银行帐号：37001616508050150300</w:t>
      </w:r>
    </w:p>
    <w:p w14:paraId="348017B8">
      <w:pPr>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联行号：105451000362</w:t>
      </w:r>
    </w:p>
    <w:p w14:paraId="5D6268DF">
      <w:pPr>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投标保证金应从投标人的基本账户转出至上述账户并到账，否则视为无效投标。</w:t>
      </w:r>
    </w:p>
    <w:p w14:paraId="404ED49A">
      <w:pPr>
        <w:pStyle w:val="14"/>
        <w:numPr>
          <w:ilvl w:val="0"/>
          <w:numId w:val="0"/>
        </w:numPr>
        <w:spacing w:line="460" w:lineRule="exact"/>
        <w:ind w:firstLine="42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转账附言：公司名称+项目名称+投标保证金。（不按要求备注，不保证保证金退还时间）</w:t>
      </w:r>
    </w:p>
    <w:p w14:paraId="48DFB93D">
      <w:pPr>
        <w:pStyle w:val="14"/>
        <w:numPr>
          <w:ilvl w:val="0"/>
          <w:numId w:val="4"/>
        </w:numPr>
        <w:spacing w:line="460" w:lineRule="exact"/>
        <w:ind w:firstLine="64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联系人</w:t>
      </w:r>
    </w:p>
    <w:p w14:paraId="1EF56FD8">
      <w:pPr>
        <w:pStyle w:val="14"/>
        <w:numPr>
          <w:ilvl w:val="0"/>
          <w:numId w:val="0"/>
        </w:numPr>
        <w:spacing w:line="460" w:lineRule="exact"/>
        <w:rPr>
          <w:rFonts w:hint="eastAsia" w:ascii="宋体" w:hAnsi="宋体" w:eastAsia="宋体" w:cs="宋体"/>
          <w:sz w:val="21"/>
          <w:szCs w:val="21"/>
          <w:highlight w:val="none"/>
          <w:lang w:val="en-US" w:eastAsia="zh-CN"/>
        </w:rPr>
      </w:pPr>
      <w:r>
        <w:rPr>
          <w:rFonts w:hint="eastAsia" w:ascii="仿宋_GB2312" w:hAnsi="仿宋" w:eastAsia="仿宋_GB2312"/>
          <w:sz w:val="32"/>
          <w:szCs w:val="32"/>
          <w:highlight w:val="none"/>
          <w:lang w:val="en-US" w:eastAsia="zh-CN"/>
        </w:rPr>
        <w:t xml:space="preserve">    </w:t>
      </w:r>
      <w:r>
        <w:rPr>
          <w:rFonts w:hint="eastAsia" w:ascii="宋体" w:hAnsi="宋体" w:eastAsia="宋体" w:cs="宋体"/>
          <w:sz w:val="21"/>
          <w:szCs w:val="21"/>
          <w:highlight w:val="none"/>
          <w:lang w:val="en-US" w:eastAsia="zh-CN"/>
        </w:rPr>
        <w:t xml:space="preserve"> 招标流程联系人：王老师 18653169235</w:t>
      </w:r>
    </w:p>
    <w:p w14:paraId="033719DA">
      <w:pPr>
        <w:pStyle w:val="14"/>
        <w:numPr>
          <w:ilvl w:val="0"/>
          <w:numId w:val="0"/>
        </w:numPr>
        <w:spacing w:line="460" w:lineRule="exact"/>
        <w:ind w:left="420" w:leftChars="0" w:firstLine="42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业 务 联 系 人：冯老师 0531-58062301</w:t>
      </w:r>
    </w:p>
    <w:p w14:paraId="0DEC09A5">
      <w:pPr>
        <w:pStyle w:val="14"/>
        <w:numPr>
          <w:ilvl w:val="0"/>
          <w:numId w:val="4"/>
        </w:numPr>
        <w:spacing w:line="460" w:lineRule="exact"/>
        <w:ind w:left="0" w:leftChars="0"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报名方式</w:t>
      </w:r>
    </w:p>
    <w:p w14:paraId="41F1C64D">
      <w:pPr>
        <w:numPr>
          <w:ilvl w:val="255"/>
          <w:numId w:val="0"/>
        </w:numPr>
        <w:spacing w:line="360" w:lineRule="auto"/>
        <w:ind w:firstLine="420" w:firstLineChars="0"/>
        <w:jc w:val="left"/>
        <w:rPr>
          <w:rFonts w:hint="eastAsia" w:ascii="仿宋_GB2312" w:hAnsi="仿宋" w:eastAsia="仿宋_GB2312" w:cstheme="minorBidi"/>
          <w:kern w:val="2"/>
          <w:sz w:val="32"/>
          <w:szCs w:val="32"/>
          <w:highlight w:val="none"/>
          <w:lang w:val="en-US" w:eastAsia="zh-CN" w:bidi="ar-SA"/>
        </w:rPr>
      </w:pPr>
      <w:r>
        <w:rPr>
          <w:rFonts w:hint="eastAsia" w:ascii="宋体" w:hAnsi="宋体" w:eastAsia="宋体" w:cs="宋体"/>
          <w:kern w:val="2"/>
          <w:sz w:val="21"/>
          <w:szCs w:val="21"/>
          <w:highlight w:val="none"/>
          <w:lang w:val="en-US" w:eastAsia="zh-CN" w:bidi="ar-SA"/>
        </w:rPr>
        <w:t>本次招标注册、应标、澄清、报价全部操作需要登录E采通系统进行操作，网址如下：</w:t>
      </w:r>
      <w:r>
        <w:rPr>
          <w:rFonts w:hint="eastAsia" w:ascii="宋体" w:hAnsi="宋体" w:eastAsia="宋体" w:cs="宋体"/>
          <w:kern w:val="2"/>
          <w:sz w:val="21"/>
          <w:szCs w:val="21"/>
          <w:highlight w:val="none"/>
          <w:lang w:val="en-US" w:eastAsia="zh-CN" w:bidi="ar-SA"/>
        </w:rPr>
        <w:fldChar w:fldCharType="begin"/>
      </w:r>
      <w:r>
        <w:rPr>
          <w:rFonts w:hint="eastAsia" w:ascii="宋体" w:hAnsi="宋体" w:eastAsia="宋体" w:cs="宋体"/>
          <w:kern w:val="2"/>
          <w:sz w:val="21"/>
          <w:szCs w:val="21"/>
          <w:highlight w:val="none"/>
          <w:lang w:val="en-US" w:eastAsia="zh-CN" w:bidi="ar-SA"/>
        </w:rPr>
        <w:instrText xml:space="preserve">HYPERLINK "http://ecaitong.sinotruk.com:8012/，请于截止日期前完成注册、应标等操作。"</w:instrText>
      </w:r>
      <w:r>
        <w:rPr>
          <w:rFonts w:hint="eastAsia" w:ascii="宋体" w:hAnsi="宋体" w:eastAsia="宋体" w:cs="宋体"/>
          <w:kern w:val="2"/>
          <w:sz w:val="21"/>
          <w:szCs w:val="21"/>
          <w:highlight w:val="none"/>
          <w:lang w:val="en-US" w:eastAsia="zh-CN" w:bidi="ar-SA"/>
        </w:rPr>
        <w:fldChar w:fldCharType="separate"/>
      </w:r>
      <w:r>
        <w:rPr>
          <w:rFonts w:hint="eastAsia" w:ascii="宋体" w:hAnsi="宋体" w:eastAsia="宋体" w:cs="宋体"/>
          <w:kern w:val="2"/>
          <w:sz w:val="21"/>
          <w:szCs w:val="21"/>
          <w:highlight w:val="none"/>
          <w:lang w:val="en-US" w:eastAsia="zh-CN" w:bidi="ar-SA"/>
        </w:rPr>
        <w:t>http://ecaitong.sinotruk.com:8012/，请于截止日期前完成注册、应标、投标等操作，超过截止日期未将盖章（或电子章）技术标、商务标、资质等文件上传系统的，系统自动关闭上传入口，视为放弃应标。</w:t>
      </w:r>
      <w:r>
        <w:rPr>
          <w:rFonts w:hint="eastAsia" w:ascii="宋体" w:hAnsi="宋体" w:eastAsia="宋体" w:cs="宋体"/>
          <w:kern w:val="2"/>
          <w:sz w:val="21"/>
          <w:szCs w:val="21"/>
          <w:highlight w:val="none"/>
          <w:lang w:val="en-US" w:eastAsia="zh-CN" w:bidi="ar-SA"/>
        </w:rPr>
        <w:fldChar w:fldCharType="end"/>
      </w:r>
    </w:p>
    <w:p w14:paraId="6CC9A4F6">
      <w:pPr>
        <w:spacing w:line="360" w:lineRule="auto"/>
        <w:ind w:left="1890" w:hanging="1890" w:hangingChars="900"/>
        <w:rPr>
          <w:rFonts w:hint="default" w:ascii="仿宋_GB2312" w:hAnsi="仿宋" w:eastAsia="仿宋_GB2312"/>
          <w:sz w:val="32"/>
          <w:szCs w:val="32"/>
          <w:highlight w:val="none"/>
          <w:lang w:val="en-US" w:eastAsia="zh-CN"/>
        </w:rPr>
      </w:pPr>
      <w:r>
        <w:rPr>
          <w:rFonts w:hint="eastAsia" w:ascii="宋体" w:hAnsi="Courier New" w:eastAsia="宋体" w:cs="宋体"/>
          <w:szCs w:val="20"/>
          <w:highlight w:val="none"/>
          <w:lang w:bidi="ar"/>
        </w:rPr>
        <w:t xml:space="preserve">    </w:t>
      </w:r>
      <w:r>
        <w:rPr>
          <w:rFonts w:ascii="宋体" w:hAnsi="宋体"/>
          <w:szCs w:val="20"/>
          <w:highlight w:val="none"/>
        </w:rPr>
        <w:t xml:space="preserve"> </w:t>
      </w:r>
      <w:r>
        <w:rPr>
          <w:rFonts w:hint="eastAsia" w:ascii="宋体" w:hAnsi="宋体"/>
          <w:szCs w:val="20"/>
          <w:highlight w:val="none"/>
        </w:rPr>
        <w:t xml:space="preserve"> </w:t>
      </w:r>
      <w:r>
        <w:rPr>
          <w:rFonts w:hint="eastAsia" w:ascii="宋体" w:hAnsi="宋体" w:eastAsia="宋体" w:cs="宋体"/>
          <w:color w:val="000000" w:themeColor="text1"/>
          <w:szCs w:val="20"/>
          <w:highlight w:val="none"/>
          <w:lang w:bidi="ar"/>
          <w14:textFill>
            <w14:solidFill>
              <w14:schemeClr w14:val="tx1"/>
            </w14:solidFill>
          </w14:textFill>
        </w:rPr>
        <w:object>
          <v:shape id="_x0000_i1025" o:spt="75" type="#_x0000_t75" style="height:67pt;width:72pt;" o:ole="t" filled="f" o:preferrelative="t" stroked="f" coordsize="21600,21600">
            <v:path/>
            <v:fill on="f" focussize="0,0"/>
            <v:stroke on="f" joinstyle="miter"/>
            <v:imagedata r:id="rId14" o:title=""/>
            <o:lock v:ext="edit" aspectratio="t"/>
            <w10:wrap type="none"/>
            <w10:anchorlock/>
          </v:shape>
          <o:OLEObject Type="Embed" ProgID="Package" ShapeID="_x0000_i1025" DrawAspect="Icon" ObjectID="_1468075725" r:id="rId13">
            <o:LockedField>false</o:LockedField>
          </o:OLEObject>
        </w:object>
      </w:r>
      <w:r>
        <w:rPr>
          <w:rFonts w:hint="eastAsia" w:ascii="宋体" w:hAnsi="宋体" w:eastAsia="宋体" w:cs="宋体"/>
          <w:color w:val="000000" w:themeColor="text1"/>
          <w:szCs w:val="20"/>
          <w:highlight w:val="none"/>
          <w:lang w:bidi="ar"/>
          <w14:textFill>
            <w14:solidFill>
              <w14:schemeClr w14:val="tx1"/>
            </w14:solidFill>
          </w14:textFill>
        </w:rPr>
        <w:object>
          <v:shape id="_x0000_i1026" o:spt="75" type="#_x0000_t75" style="height:67pt;width:72pt;" o:ole="t" filled="f" o:preferrelative="t" stroked="f" coordsize="21600,21600">
            <v:path/>
            <v:fill on="f" focussize="0,0"/>
            <v:stroke on="f" joinstyle="miter"/>
            <v:imagedata r:id="rId16" o:title=""/>
            <o:lock v:ext="edit" aspectratio="t"/>
            <w10:wrap type="none"/>
            <w10:anchorlock/>
          </v:shape>
          <o:OLEObject Type="Embed" ProgID="Word.Document.12" ShapeID="_x0000_i1026" DrawAspect="Icon" ObjectID="_1468075726" r:id="rId15">
            <o:LockedField>false</o:LockedField>
          </o:OLEObject>
        </w:object>
      </w:r>
    </w:p>
    <w:p w14:paraId="5461FADE">
      <w:pPr>
        <w:pStyle w:val="14"/>
        <w:spacing w:line="460" w:lineRule="exact"/>
        <w:ind w:firstLine="643"/>
        <w:rPr>
          <w:rFonts w:hint="eastAsia" w:ascii="黑体" w:hAnsi="黑体" w:eastAsia="黑体" w:cs="黑体"/>
          <w:b/>
          <w:sz w:val="28"/>
          <w:szCs w:val="28"/>
          <w:highlight w:val="none"/>
        </w:rPr>
      </w:pPr>
      <w:r>
        <w:rPr>
          <w:rFonts w:hint="eastAsia" w:ascii="黑体" w:hAnsi="黑体" w:eastAsia="黑体" w:cs="黑体"/>
          <w:b/>
          <w:sz w:val="28"/>
          <w:szCs w:val="28"/>
          <w:highlight w:val="none"/>
          <w:lang w:val="en-US" w:eastAsia="zh-CN"/>
        </w:rPr>
        <w:t>二</w:t>
      </w:r>
      <w:r>
        <w:rPr>
          <w:rFonts w:hint="eastAsia" w:ascii="黑体" w:hAnsi="黑体" w:eastAsia="黑体" w:cs="黑体"/>
          <w:b/>
          <w:sz w:val="28"/>
          <w:szCs w:val="28"/>
          <w:highlight w:val="none"/>
        </w:rPr>
        <w:t>、付款条件及付款方式</w:t>
      </w:r>
    </w:p>
    <w:p w14:paraId="0CFD80B4">
      <w:pPr>
        <w:autoSpaceDE w:val="0"/>
        <w:autoSpaceDN w:val="0"/>
        <w:adjustRightInd w:val="0"/>
        <w:spacing w:line="460" w:lineRule="exact"/>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1.付款条件：乙方</w:t>
      </w:r>
      <w:r>
        <w:rPr>
          <w:rFonts w:hint="eastAsia" w:ascii="宋体" w:hAnsi="宋体" w:eastAsia="宋体" w:cs="宋体"/>
          <w:sz w:val="21"/>
          <w:szCs w:val="21"/>
          <w:highlight w:val="none"/>
          <w:lang w:val="en-US" w:eastAsia="zh-CN"/>
        </w:rPr>
        <w:t>按照甲方要求</w:t>
      </w:r>
      <w:r>
        <w:rPr>
          <w:rFonts w:hint="eastAsia" w:ascii="宋体" w:hAnsi="宋体" w:eastAsia="宋体" w:cs="宋体"/>
          <w:sz w:val="21"/>
          <w:szCs w:val="21"/>
          <w:highlight w:val="none"/>
          <w:lang w:val="zh-CN"/>
        </w:rPr>
        <w:t>完成</w:t>
      </w:r>
      <w:r>
        <w:rPr>
          <w:rFonts w:hint="eastAsia" w:ascii="宋体" w:hAnsi="宋体" w:eastAsia="宋体" w:cs="宋体"/>
          <w:sz w:val="21"/>
          <w:szCs w:val="21"/>
          <w:highlight w:val="none"/>
          <w:lang w:val="en-US" w:eastAsia="zh-CN"/>
        </w:rPr>
        <w:t>每期《重型汽车报》的印刷及发行工作</w:t>
      </w:r>
      <w:r>
        <w:rPr>
          <w:rFonts w:hint="eastAsia" w:ascii="宋体" w:hAnsi="宋体" w:eastAsia="宋体" w:cs="宋体"/>
          <w:sz w:val="21"/>
          <w:szCs w:val="21"/>
          <w:highlight w:val="none"/>
          <w:lang w:val="zh-CN"/>
        </w:rPr>
        <w:t>，</w:t>
      </w:r>
      <w:r>
        <w:rPr>
          <w:rFonts w:hint="eastAsia" w:ascii="宋体" w:hAnsi="宋体" w:eastAsia="宋体" w:cs="宋体"/>
          <w:sz w:val="21"/>
          <w:szCs w:val="21"/>
          <w:highlight w:val="none"/>
          <w:lang w:val="en-US" w:eastAsia="zh-CN"/>
        </w:rPr>
        <w:t>并</w:t>
      </w:r>
      <w:r>
        <w:rPr>
          <w:rFonts w:hint="eastAsia" w:ascii="宋体" w:hAnsi="宋体" w:eastAsia="宋体" w:cs="宋体"/>
          <w:sz w:val="21"/>
          <w:szCs w:val="21"/>
          <w:highlight w:val="none"/>
          <w:lang w:val="zh-CN"/>
        </w:rPr>
        <w:t>向甲方提供增值税专用发票，甲方向乙方付清款项。</w:t>
      </w:r>
    </w:p>
    <w:p w14:paraId="5CAE2178">
      <w:pPr>
        <w:autoSpaceDE w:val="0"/>
        <w:autoSpaceDN w:val="0"/>
        <w:adjustRightInd w:val="0"/>
        <w:spacing w:line="460" w:lineRule="exact"/>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2.付款周期：月结</w:t>
      </w:r>
    </w:p>
    <w:p w14:paraId="354C5D81">
      <w:pPr>
        <w:spacing w:line="460" w:lineRule="exact"/>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付款方式：</w:t>
      </w:r>
      <w:r>
        <w:rPr>
          <w:rFonts w:hint="eastAsia" w:ascii="宋体" w:hAnsi="宋体" w:eastAsia="宋体" w:cs="宋体"/>
          <w:sz w:val="21"/>
          <w:szCs w:val="21"/>
          <w:highlight w:val="none"/>
          <w:lang w:val="en-US" w:eastAsia="zh-CN"/>
        </w:rPr>
        <w:t>现款结算（或电汇）</w:t>
      </w:r>
    </w:p>
    <w:p w14:paraId="7DDB1676">
      <w:pPr>
        <w:keepNext w:val="0"/>
        <w:keepLines w:val="0"/>
        <w:widowControl/>
        <w:suppressLineNumbers w:val="0"/>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印刷费用结算周期为：每月结算一次印刷费，甲方对交付的印刷成 </w:t>
      </w:r>
    </w:p>
    <w:p w14:paraId="26BE3E15">
      <w:pPr>
        <w:keepNext w:val="0"/>
        <w:keepLines w:val="0"/>
        <w:widowControl/>
        <w:suppressLineNumbers w:val="0"/>
        <w:jc w:val="left"/>
        <w:rPr>
          <w:rFonts w:hint="default" w:ascii="仿宋_GB2312" w:hAnsi="仿宋" w:eastAsia="仿宋_GB2312"/>
          <w:sz w:val="32"/>
          <w:szCs w:val="32"/>
          <w:highlight w:val="none"/>
          <w:lang w:val="en-US" w:eastAsia="zh-CN"/>
        </w:rPr>
      </w:pPr>
      <w:r>
        <w:rPr>
          <w:rFonts w:hint="eastAsia" w:ascii="宋体" w:hAnsi="宋体" w:eastAsia="宋体" w:cs="宋体"/>
          <w:color w:val="000000"/>
          <w:kern w:val="0"/>
          <w:sz w:val="21"/>
          <w:szCs w:val="21"/>
          <w:highlight w:val="none"/>
          <w:lang w:val="en-US" w:eastAsia="zh-CN" w:bidi="ar"/>
        </w:rPr>
        <w:t>品验收合格，乙方开具当期费用的增值税专用发票后，甲方 30 日内支付款项。</w:t>
      </w:r>
      <w:r>
        <w:rPr>
          <w:rFonts w:hint="eastAsia" w:ascii="宋体" w:hAnsi="宋体" w:eastAsia="宋体" w:cs="宋体"/>
          <w:b/>
          <w:bCs/>
          <w:color w:val="000000"/>
          <w:kern w:val="0"/>
          <w:sz w:val="21"/>
          <w:szCs w:val="21"/>
          <w:highlight w:val="none"/>
          <w:lang w:val="en-US" w:eastAsia="zh-CN" w:bidi="ar"/>
        </w:rPr>
        <w:t xml:space="preserve"> </w:t>
      </w:r>
      <w:r>
        <w:rPr>
          <w:rFonts w:hint="eastAsia" w:ascii="宋体" w:hAnsi="宋体" w:eastAsia="宋体" w:cs="宋体"/>
          <w:color w:val="000000"/>
          <w:kern w:val="0"/>
          <w:sz w:val="21"/>
          <w:szCs w:val="21"/>
          <w:highlight w:val="none"/>
          <w:lang w:val="en-US" w:eastAsia="zh-CN" w:bidi="ar"/>
        </w:rPr>
        <w:t>因发票违规给付款方造成的增值税、所得税等损失，由开票方承担相关责任，包括但不限于税款、滞纳金、罚款及其它相关损失。</w:t>
      </w:r>
    </w:p>
    <w:p w14:paraId="0F90F769">
      <w:pPr>
        <w:pStyle w:val="14"/>
        <w:numPr>
          <w:ilvl w:val="0"/>
          <w:numId w:val="5"/>
        </w:numPr>
        <w:tabs>
          <w:tab w:val="left" w:pos="862"/>
        </w:tabs>
        <w:spacing w:line="460" w:lineRule="exact"/>
        <w:ind w:firstLine="643"/>
        <w:rPr>
          <w:rFonts w:hint="eastAsia" w:ascii="黑体" w:hAnsi="黑体" w:eastAsia="黑体" w:cs="黑体"/>
          <w:b/>
          <w:sz w:val="28"/>
          <w:szCs w:val="28"/>
          <w:highlight w:val="none"/>
        </w:rPr>
      </w:pPr>
      <w:r>
        <w:rPr>
          <w:rFonts w:hint="eastAsia" w:ascii="黑体" w:hAnsi="黑体" w:eastAsia="黑体" w:cs="黑体"/>
          <w:b/>
          <w:sz w:val="28"/>
          <w:szCs w:val="28"/>
          <w:highlight w:val="none"/>
        </w:rPr>
        <w:t>投标人资格条件及要求</w:t>
      </w:r>
    </w:p>
    <w:p w14:paraId="7DFCE465">
      <w:pPr>
        <w:pStyle w:val="26"/>
        <w:numPr>
          <w:ilvl w:val="0"/>
          <w:numId w:val="0"/>
        </w:numPr>
        <w:bidi w:val="0"/>
        <w:ind w:left="710" w:leftChars="0"/>
        <w:rPr>
          <w:rFonts w:hint="eastAsia" w:ascii="黑体" w:hAnsi="黑体" w:eastAsia="黑体" w:cs="黑体"/>
          <w:b/>
          <w:sz w:val="28"/>
          <w:szCs w:val="28"/>
          <w:highlight w:val="none"/>
        </w:rPr>
      </w:pPr>
      <w:r>
        <w:rPr>
          <w:rFonts w:hint="eastAsia"/>
          <w:highlight w:val="none"/>
          <w:lang w:val="en-US" w:eastAsia="zh-CN"/>
        </w:rPr>
        <w:t>(一）投标人条件</w:t>
      </w:r>
    </w:p>
    <w:p w14:paraId="7E90F381">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1. 投标人应遵守《中华人民共和国招投标法》及有关的法律和法规。具备独立法人资格，具有独立承担民事责任能力、良好的财务状况、一定的垫资能力，经营稳定，资质符合项目要求，具有全面履约能力。</w:t>
      </w:r>
    </w:p>
    <w:p w14:paraId="2F37D175">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2. 投标人的注册资金不低于</w:t>
      </w:r>
      <w:r>
        <w:rPr>
          <w:rFonts w:hint="eastAsia" w:ascii="宋体" w:hAnsi="宋体" w:eastAsia="宋体" w:cs="宋体"/>
          <w:sz w:val="21"/>
          <w:szCs w:val="21"/>
          <w:highlight w:val="none"/>
          <w:lang w:val="en-US" w:eastAsia="zh-CN"/>
        </w:rPr>
        <w:t>500</w:t>
      </w:r>
      <w:r>
        <w:rPr>
          <w:rFonts w:hint="eastAsia" w:ascii="宋体" w:hAnsi="宋体" w:eastAsia="宋体" w:cs="宋体"/>
          <w:sz w:val="21"/>
          <w:szCs w:val="21"/>
          <w:highlight w:val="none"/>
        </w:rPr>
        <w:t>万</w:t>
      </w:r>
      <w:r>
        <w:rPr>
          <w:rFonts w:hint="eastAsia" w:ascii="宋体" w:hAnsi="宋体" w:eastAsia="宋体" w:cs="宋体"/>
          <w:sz w:val="21"/>
          <w:szCs w:val="21"/>
          <w:highlight w:val="none"/>
          <w:lang w:val="en-US" w:eastAsia="zh-CN"/>
        </w:rPr>
        <w:t>元</w:t>
      </w:r>
      <w:r>
        <w:rPr>
          <w:rFonts w:hint="eastAsia" w:ascii="宋体" w:hAnsi="宋体" w:eastAsia="宋体" w:cs="宋体"/>
          <w:sz w:val="21"/>
          <w:szCs w:val="21"/>
          <w:highlight w:val="none"/>
        </w:rPr>
        <w:t>，事业单位法人证书在有效期内并且经营范围满足招标人需求，在国内注册三年以上（以事业单位法人证书成立日期到开标当日计算）。不符合本条款要求的视为废标项，招标人有权取消其投标资格。</w:t>
      </w:r>
    </w:p>
    <w:p w14:paraId="21F2C77A">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3.投标人在国家企业信用信息公示系统中有不良记录、近三年的公司财务报表异常、存在严重违规或被列入招标人“黑名单”的，招标人有权取消其投标资格。</w:t>
      </w:r>
    </w:p>
    <w:p w14:paraId="7EC52D61">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4.投标人应认可招标人的工作指令，包括节、假日能正常开展工作的招标要求。</w:t>
      </w:r>
    </w:p>
    <w:p w14:paraId="7D727137">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5.资格审查方式：资格后审，合格制。投标人应编制资格后审文件，否则视为放弃投标，内容包括：</w:t>
      </w:r>
    </w:p>
    <w:p w14:paraId="6FA117CF">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（1）投标人基本情况表，附带投标人事业单位法人证书副本及复印件（加盖单位公章）。</w:t>
      </w:r>
    </w:p>
    <w:p w14:paraId="6F08BCF0">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（2）法定代表人身份证复印件，若法定代表人不能出席，需有法定代表人授权委托书（格式见附件1）及被委托人身份证（加盖公章）。</w:t>
      </w:r>
    </w:p>
    <w:p w14:paraId="68E10FAA">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3）财务状况报告，依法缴纳税收和社会保障资金的相关材料原件或复印件盖公章（财务状况报告：近三年财务审计报告、公司财务报表或开户银行出具的资信证明；税收材料：税收完税凭证或税务部门出具的纳税证明；社会保障资金材料：缴纳社会保险的凭据）。</w:t>
      </w:r>
    </w:p>
    <w:p w14:paraId="454B1061">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（4）无重大违法记录的书面声明原件。</w:t>
      </w:r>
    </w:p>
    <w:p w14:paraId="704FA316">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（5）信用承诺书原件。</w:t>
      </w:r>
    </w:p>
    <w:p w14:paraId="6892CEA9">
      <w:pPr>
        <w:pStyle w:val="14"/>
        <w:spacing w:line="460" w:lineRule="exact"/>
        <w:ind w:firstLine="640"/>
        <w:rPr>
          <w:rFonts w:hint="eastAsia" w:ascii="宋体" w:hAnsi="宋体" w:eastAsia="宋体" w:cs="宋体"/>
          <w:sz w:val="21"/>
          <w:szCs w:val="21"/>
          <w:highlight w:val="none"/>
        </w:rPr>
      </w:pPr>
      <w:r>
        <w:rPr>
          <w:rFonts w:hint="eastAsia" w:ascii="宋体" w:hAnsi="宋体" w:eastAsia="宋体" w:cs="宋体"/>
          <w:sz w:val="21"/>
          <w:szCs w:val="21"/>
          <w:highlight w:val="none"/>
        </w:rPr>
        <w:t>（6）证明投标人资格条件的其他资质、等级证书。</w:t>
      </w:r>
    </w:p>
    <w:p w14:paraId="1F7A0CD7">
      <w:pPr>
        <w:pStyle w:val="14"/>
        <w:spacing w:line="460" w:lineRule="exact"/>
        <w:ind w:firstLine="64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（7）投标保证金缴纳证明。</w:t>
      </w:r>
    </w:p>
    <w:p w14:paraId="734935C8">
      <w:pPr>
        <w:pStyle w:val="14"/>
        <w:spacing w:line="460" w:lineRule="exact"/>
        <w:ind w:firstLine="640"/>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开标时，投标人应携带以上原件备查，否则视为废标。</w:t>
      </w:r>
    </w:p>
    <w:p w14:paraId="7A940CFE">
      <w:pPr>
        <w:pStyle w:val="26"/>
        <w:numPr>
          <w:ilvl w:val="0"/>
          <w:numId w:val="0"/>
        </w:numPr>
        <w:bidi w:val="0"/>
        <w:ind w:left="710" w:leftChars="0"/>
        <w:rPr>
          <w:rFonts w:hint="eastAsia"/>
          <w:highlight w:val="none"/>
          <w:lang w:val="en-US" w:eastAsia="zh-CN"/>
        </w:rPr>
      </w:pPr>
      <w:r>
        <w:rPr>
          <w:rFonts w:hint="eastAsia"/>
          <w:highlight w:val="none"/>
          <w:lang w:val="en-US" w:eastAsia="zh-CN"/>
        </w:rPr>
        <w:t>（二）资质文件组成</w:t>
      </w:r>
    </w:p>
    <w:p w14:paraId="0A58D30F">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2.1投标人基本情况表，附带投标人营业执照副本及复印件（加盖单位公章）。</w:t>
      </w:r>
    </w:p>
    <w:p w14:paraId="3C43A8A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2.2法定代表人身份证复印件，若法定代表人不能出席，需有法定代表人授权委托书（格式见附件）及被委托人身份证（加盖公章）。</w:t>
      </w:r>
    </w:p>
    <w:p w14:paraId="41FCB154">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2.3财务状况报告，依法缴纳税收和社会保障资金的相关材料原件或复印件盖公章（财务状况报告：近三年财务审计报告、公司财务报表或开户银行出具的资信证明；税收材料：税收完税凭证或税务部门出具的纳税证明；社会保障资金材料：缴纳社会保险的凭据）。</w:t>
      </w:r>
    </w:p>
    <w:p w14:paraId="1077904F">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2.4无重大违法记录的书面声明原件。</w:t>
      </w:r>
    </w:p>
    <w:p w14:paraId="28BCB46E">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2.5信用承诺书原件。</w:t>
      </w:r>
    </w:p>
    <w:p w14:paraId="1BE707C1">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lang w:val="en-US" w:eastAsia="zh-CN"/>
        </w:rPr>
      </w:pPr>
      <w:r>
        <w:rPr>
          <w:rFonts w:hint="eastAsia"/>
          <w:lang w:val="en-US" w:eastAsia="zh-CN"/>
        </w:rPr>
        <w:t>2.6证明投标人资格条件的其他资质、等级证书。</w:t>
      </w:r>
    </w:p>
    <w:p w14:paraId="145EF8D3">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lang w:val="en-US" w:eastAsia="zh-CN"/>
        </w:rPr>
      </w:pPr>
      <w:r>
        <w:rPr>
          <w:rFonts w:hint="eastAsia"/>
          <w:lang w:val="en-US" w:eastAsia="zh-CN"/>
        </w:rPr>
        <w:t>2.7招标文件中要求的其它资格证明文件。</w:t>
      </w:r>
    </w:p>
    <w:p w14:paraId="7A818F3B">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default"/>
          <w:highlight w:val="yellow"/>
          <w:lang w:val="en-US" w:eastAsia="zh-CN"/>
        </w:rPr>
      </w:pPr>
      <w:r>
        <w:rPr>
          <w:rFonts w:hint="eastAsia"/>
          <w:lang w:val="en-US" w:eastAsia="zh-CN"/>
        </w:rPr>
        <w:t>2.8投标保证金缴纳凭证，同时正文描述付款账号、户名、开户行名称、开户行行号、保证金金额。</w:t>
      </w:r>
    </w:p>
    <w:p w14:paraId="76B97D53">
      <w:pPr>
        <w:pStyle w:val="27"/>
        <w:numPr>
          <w:ilvl w:val="0"/>
          <w:numId w:val="0"/>
        </w:numPr>
        <w:ind w:left="420" w:leftChars="0"/>
        <w:rPr>
          <w:highlight w:val="none"/>
        </w:rPr>
      </w:pPr>
      <w:bookmarkStart w:id="0" w:name="_Toc47976591"/>
      <w:r>
        <w:rPr>
          <w:rFonts w:hint="eastAsia"/>
          <w:highlight w:val="none"/>
          <w:lang w:val="en-US" w:eastAsia="zh-CN"/>
        </w:rPr>
        <w:t>四、</w:t>
      </w:r>
      <w:r>
        <w:rPr>
          <w:rFonts w:hint="eastAsia"/>
          <w:highlight w:val="none"/>
        </w:rPr>
        <w:t>报名及招标文件的获取</w:t>
      </w:r>
      <w:bookmarkEnd w:id="0"/>
    </w:p>
    <w:p w14:paraId="485CA7D6">
      <w:pPr>
        <w:pStyle w:val="26"/>
        <w:numPr>
          <w:ilvl w:val="0"/>
          <w:numId w:val="0"/>
        </w:numPr>
        <w:bidi w:val="0"/>
        <w:ind w:firstLine="630" w:firstLineChars="3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（一）应标报名截止时间</w:t>
      </w:r>
      <w:r>
        <w:rPr>
          <w:rFonts w:hint="eastAsia" w:ascii="宋体" w:hAnsi="宋体" w:eastAsia="宋体" w:cs="宋体"/>
          <w:b w:val="0"/>
          <w:bCs/>
          <w:sz w:val="21"/>
          <w:szCs w:val="21"/>
          <w:highlight w:val="none"/>
          <w:lang w:val="en-US" w:eastAsia="zh-CN"/>
        </w:rPr>
        <w:t>：</w:t>
      </w:r>
      <w:r>
        <w:rPr>
          <w:rFonts w:hint="eastAsia" w:ascii="宋体" w:hAnsi="宋体" w:eastAsia="宋体" w:cs="宋体"/>
          <w:b w:val="0"/>
          <w:bCs/>
          <w:sz w:val="21"/>
          <w:szCs w:val="21"/>
          <w:highlight w:val="none"/>
          <w:u w:val="single"/>
          <w:lang w:val="en-US" w:eastAsia="zh-CN"/>
        </w:rPr>
        <w:t xml:space="preserve"> 2026年10月</w:t>
      </w:r>
      <w:r>
        <w:rPr>
          <w:rFonts w:hint="eastAsia" w:hAnsi="宋体" w:cs="宋体"/>
          <w:b w:val="0"/>
          <w:bCs/>
          <w:sz w:val="21"/>
          <w:szCs w:val="21"/>
          <w:highlight w:val="none"/>
          <w:u w:val="single"/>
          <w:lang w:val="en-US" w:eastAsia="zh-CN"/>
        </w:rPr>
        <w:t>19</w:t>
      </w:r>
      <w:r>
        <w:rPr>
          <w:rFonts w:hint="eastAsia" w:ascii="宋体" w:hAnsi="宋体" w:eastAsia="宋体" w:cs="宋体"/>
          <w:b w:val="0"/>
          <w:bCs/>
          <w:sz w:val="21"/>
          <w:szCs w:val="21"/>
          <w:highlight w:val="none"/>
          <w:u w:val="single"/>
          <w:lang w:val="en-US" w:eastAsia="zh-CN"/>
        </w:rPr>
        <w:t>日17:00:00</w:t>
      </w:r>
    </w:p>
    <w:p w14:paraId="04DB969B">
      <w:pPr>
        <w:pStyle w:val="26"/>
        <w:numPr>
          <w:ilvl w:val="0"/>
          <w:numId w:val="0"/>
        </w:numPr>
        <w:bidi w:val="0"/>
        <w:ind w:left="630" w:leftChars="300" w:firstLine="0" w:firstLineChars="0"/>
        <w:rPr>
          <w:rFonts w:hint="eastAsia" w:ascii="宋体" w:hAnsi="宋体" w:eastAsia="宋体" w:cs="宋体"/>
          <w:b w:val="0"/>
          <w:bCs/>
          <w:sz w:val="21"/>
          <w:szCs w:val="21"/>
          <w:lang w:val="en-US" w:eastAsia="zh-CN"/>
        </w:rPr>
      </w:pPr>
      <w:r>
        <w:rPr>
          <w:rFonts w:hint="eastAsia" w:ascii="宋体" w:hAnsi="宋体" w:eastAsia="宋体" w:cs="宋体"/>
          <w:b w:val="0"/>
          <w:bCs/>
          <w:sz w:val="21"/>
          <w:szCs w:val="21"/>
          <w:highlight w:val="none"/>
          <w:lang w:val="en-US" w:eastAsia="zh-CN"/>
        </w:rPr>
        <w:t>（二）招标文件获取方式：投标人应标报名成功后，在中国重汽e采通平台上获取招标文件。</w:t>
      </w:r>
      <w:r>
        <w:rPr>
          <w:rFonts w:hint="eastAsia" w:ascii="宋体" w:hAnsi="宋体" w:eastAsia="宋体" w:cs="宋体"/>
          <w:b w:val="0"/>
          <w:bCs/>
          <w:sz w:val="21"/>
          <w:szCs w:val="21"/>
          <w:lang w:val="en-US" w:eastAsia="zh-CN"/>
        </w:rPr>
        <w:t>（三）报名方式：拟投标人根据招标人在中国重汽官网等公开媒体上发布的招标信息，在“中国重汽e采通”平台报名。按照中国重汽e采通“SRM非生产供应商注册手册”</w:t>
      </w:r>
      <w:r>
        <w:rPr>
          <w:rFonts w:hint="eastAsia" w:ascii="宋体" w:hAnsi="宋体" w:eastAsia="宋体" w:cs="宋体"/>
          <w:b w:val="0"/>
          <w:bCs/>
          <w:sz w:val="21"/>
          <w:szCs w:val="21"/>
          <w:highlight w:val="none"/>
          <w:lang w:val="en-US" w:eastAsia="zh-CN"/>
        </w:rPr>
        <w:t>（附件）</w:t>
      </w:r>
      <w:r>
        <w:rPr>
          <w:rFonts w:hint="eastAsia" w:ascii="宋体" w:hAnsi="宋体" w:eastAsia="宋体" w:cs="宋体"/>
          <w:b w:val="0"/>
          <w:bCs/>
          <w:sz w:val="21"/>
          <w:szCs w:val="21"/>
          <w:lang w:val="en-US" w:eastAsia="zh-CN"/>
        </w:rPr>
        <w:t>进行注册，注册完毕后按照“SRM系统供应商用户</w:t>
      </w:r>
      <w:r>
        <w:rPr>
          <w:rFonts w:hint="eastAsia" w:ascii="宋体" w:hAnsi="宋体" w:eastAsia="宋体" w:cs="宋体"/>
          <w:b w:val="0"/>
          <w:bCs/>
          <w:sz w:val="21"/>
          <w:szCs w:val="21"/>
          <w:highlight w:val="none"/>
          <w:lang w:val="en-US" w:eastAsia="zh-CN"/>
        </w:rPr>
        <w:t>手册”（附件），</w:t>
      </w:r>
      <w:r>
        <w:rPr>
          <w:rFonts w:hint="eastAsia" w:ascii="宋体" w:hAnsi="宋体" w:eastAsia="宋体" w:cs="宋体"/>
          <w:b w:val="0"/>
          <w:bCs/>
          <w:sz w:val="21"/>
          <w:szCs w:val="21"/>
          <w:lang w:val="en-US" w:eastAsia="zh-CN"/>
        </w:rPr>
        <w:t>登录重汽e采通平台后进入“供应商应标”，选择对应的项目，点击“应标”后按照招标公告中“投标人资格要求-资质文件”中</w:t>
      </w:r>
      <w:r>
        <w:rPr>
          <w:rFonts w:hint="eastAsia" w:ascii="宋体" w:hAnsi="宋体" w:eastAsia="宋体" w:cs="宋体"/>
          <w:b w:val="0"/>
          <w:bCs/>
          <w:sz w:val="21"/>
          <w:szCs w:val="21"/>
          <w:highlight w:val="none"/>
          <w:lang w:val="en-US" w:eastAsia="zh-CN"/>
        </w:rPr>
        <w:t>的2.1-2.7准</w:t>
      </w:r>
      <w:r>
        <w:rPr>
          <w:rFonts w:hint="eastAsia" w:ascii="宋体" w:hAnsi="宋体" w:eastAsia="宋体" w:cs="宋体"/>
          <w:b w:val="0"/>
          <w:bCs/>
          <w:sz w:val="21"/>
          <w:szCs w:val="21"/>
          <w:lang w:val="en-US" w:eastAsia="zh-CN"/>
        </w:rPr>
        <w:t>备资料并上传，资质审查通过即为报名成功；公示期间请尽快报名。</w:t>
      </w:r>
    </w:p>
    <w:p w14:paraId="4713B400">
      <w:pPr>
        <w:keepNext w:val="0"/>
        <w:keepLines w:val="0"/>
        <w:pageBreakBefore w:val="0"/>
        <w:widowControl w:val="0"/>
        <w:kinsoku/>
        <w:wordWrap/>
        <w:overflowPunct/>
        <w:topLinePunct w:val="0"/>
        <w:autoSpaceDE/>
        <w:autoSpaceDN/>
        <w:bidi w:val="0"/>
        <w:adjustRightInd/>
        <w:snapToGrid/>
        <w:spacing w:line="360" w:lineRule="auto"/>
        <w:ind w:left="709"/>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注：请务必在应标截止时间前完成注册、</w:t>
      </w:r>
      <w:r>
        <w:rPr>
          <w:rFonts w:hint="eastAsia" w:ascii="宋体" w:hAnsi="宋体" w:eastAsia="宋体" w:cs="宋体"/>
          <w:b w:val="0"/>
          <w:bCs/>
          <w:sz w:val="21"/>
          <w:szCs w:val="21"/>
          <w:highlight w:val="none"/>
          <w:lang w:val="en-US" w:eastAsia="zh-CN"/>
        </w:rPr>
        <w:t>重汽E采通系统近三年财务数据更新及应标</w:t>
      </w:r>
      <w:r>
        <w:rPr>
          <w:rFonts w:hint="eastAsia" w:ascii="宋体" w:hAnsi="宋体" w:eastAsia="宋体" w:cs="宋体"/>
          <w:b w:val="0"/>
          <w:bCs/>
          <w:sz w:val="21"/>
          <w:szCs w:val="21"/>
          <w:lang w:val="en-US" w:eastAsia="zh-CN"/>
        </w:rPr>
        <w:t>操作，注册审核需2-4日，应标截止时间精确到秒，逾期将无法应标。请自行掌握时间，避免无法应标。</w:t>
      </w:r>
    </w:p>
    <w:p w14:paraId="0C785EC5">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Chars="0" w:firstLine="562" w:firstLineChars="200"/>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五、</w:t>
      </w:r>
      <w:r>
        <w:rPr>
          <w:rFonts w:hint="eastAsia" w:hAnsi="Courier New" w:cs="Times New Roman"/>
          <w:highlight w:val="none"/>
        </w:rPr>
        <w:t>投标文件</w:t>
      </w:r>
      <w:r>
        <w:rPr>
          <w:rFonts w:hint="eastAsia" w:cs="Times New Roman"/>
          <w:highlight w:val="none"/>
          <w:lang w:val="en-US" w:eastAsia="zh-CN"/>
        </w:rPr>
        <w:t>编制</w:t>
      </w:r>
    </w:p>
    <w:p w14:paraId="59493963">
      <w:pPr>
        <w:pStyle w:val="2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firstLine="240" w:firstLineChars="100"/>
        <w:textAlignment w:val="auto"/>
        <w:outlineLvl w:val="2"/>
        <w:rPr>
          <w:rFonts w:hint="eastAsia" w:ascii="黑体" w:hAnsi="黑体" w:eastAsia="黑体" w:cs="黑体"/>
          <w:b w:val="0"/>
          <w:sz w:val="24"/>
          <w:szCs w:val="24"/>
          <w:lang w:val="en-US" w:eastAsia="zh-CN"/>
        </w:rPr>
      </w:pPr>
      <w:r>
        <w:rPr>
          <w:rFonts w:hint="eastAsia" w:hAnsi="黑体" w:cs="黑体"/>
          <w:b w:val="0"/>
          <w:sz w:val="24"/>
          <w:szCs w:val="24"/>
          <w:lang w:val="en-US" w:eastAsia="zh-CN"/>
        </w:rPr>
        <w:t>1.</w:t>
      </w:r>
      <w:r>
        <w:rPr>
          <w:rFonts w:hint="eastAsia" w:ascii="黑体" w:hAnsi="黑体" w:eastAsia="黑体" w:cs="黑体"/>
          <w:b w:val="0"/>
          <w:sz w:val="24"/>
          <w:szCs w:val="24"/>
          <w:lang w:val="en-US" w:eastAsia="zh-CN"/>
        </w:rPr>
        <w:t>投标文件的组成</w:t>
      </w:r>
    </w:p>
    <w:p w14:paraId="4275DDCC">
      <w:pPr>
        <w:pStyle w:val="28"/>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s="Times New Roman"/>
          <w:highlight w:val="none"/>
          <w:lang w:val="en-US" w:eastAsia="zh-CN"/>
        </w:rPr>
      </w:pPr>
      <w:r>
        <w:rPr>
          <w:rFonts w:hint="default" w:cs="Times New Roman"/>
          <w:highlight w:val="none"/>
          <w:lang w:val="en-US" w:eastAsia="zh-CN"/>
        </w:rPr>
        <w:t>本项目投标文件分为纸质版</w:t>
      </w:r>
      <w:r>
        <w:rPr>
          <w:rFonts w:hint="default" w:ascii="Times New Roman" w:hAnsi="Times New Roman" w:cs="Times New Roman"/>
          <w:color w:val="auto"/>
          <w:highlight w:val="none"/>
          <w:lang w:val="en-US" w:eastAsia="zh-CN"/>
        </w:rPr>
        <w:t>投标文件</w:t>
      </w:r>
      <w:r>
        <w:rPr>
          <w:rFonts w:hint="eastAsia" w:ascii="Times New Roman" w:hAnsi="Times New Roman" w:cs="Times New Roman"/>
          <w:color w:val="auto"/>
          <w:highlight w:val="none"/>
          <w:lang w:val="en-US" w:eastAsia="zh-CN"/>
        </w:rPr>
        <w:t>（均须逐页加盖公章）</w:t>
      </w:r>
      <w:r>
        <w:rPr>
          <w:rFonts w:hint="default" w:cs="Times New Roman"/>
          <w:highlight w:val="none"/>
          <w:lang w:val="en-US" w:eastAsia="zh-CN"/>
        </w:rPr>
        <w:t>和</w:t>
      </w:r>
      <w:r>
        <w:rPr>
          <w:rFonts w:hint="eastAsia" w:ascii="Times New Roman" w:hAnsi="Times New Roman" w:cs="Times New Roman"/>
          <w:color w:val="auto"/>
          <w:highlight w:val="none"/>
          <w:lang w:val="en-US" w:eastAsia="zh-CN"/>
        </w:rPr>
        <w:t>盖章扫描</w:t>
      </w:r>
      <w:r>
        <w:rPr>
          <w:rFonts w:hint="eastAsia" w:cs="Times New Roman"/>
          <w:highlight w:val="none"/>
          <w:lang w:val="en-US" w:eastAsia="zh-CN"/>
        </w:rPr>
        <w:t>电子版投标文件</w:t>
      </w:r>
      <w:r>
        <w:rPr>
          <w:rFonts w:hint="default" w:cs="Times New Roman"/>
          <w:highlight w:val="none"/>
          <w:lang w:val="en-US" w:eastAsia="zh-CN"/>
        </w:rPr>
        <w:t>，均由《投标文件（资质标）》、《投标文件（技术标）》、《投标文件（商务标）》（开标一览表）文件组成，共计3个文件。</w:t>
      </w:r>
    </w:p>
    <w:p w14:paraId="619DDDE0">
      <w:pPr>
        <w:pStyle w:val="28"/>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lang w:val="en-US" w:eastAsia="zh-CN"/>
        </w:rPr>
      </w:pPr>
      <w:r>
        <w:rPr>
          <w:rFonts w:hint="eastAsia" w:cs="Times New Roman"/>
          <w:lang w:val="en-US" w:eastAsia="zh-CN"/>
        </w:rPr>
        <w:t>本项目投标文件为</w:t>
      </w:r>
      <w:r>
        <w:rPr>
          <w:rFonts w:hint="eastAsia" w:ascii="Times New Roman" w:hAnsi="Times New Roman" w:cs="Times New Roman"/>
          <w:color w:val="auto"/>
          <w:lang w:val="en-US" w:eastAsia="zh-CN"/>
        </w:rPr>
        <w:t>盖章扫</w:t>
      </w:r>
      <w:r>
        <w:rPr>
          <w:rFonts w:hint="eastAsia" w:ascii="Times New Roman" w:hAnsi="Times New Roman" w:cs="Times New Roman"/>
          <w:color w:val="auto"/>
          <w:highlight w:val="none"/>
          <w:lang w:val="en-US" w:eastAsia="zh-CN"/>
        </w:rPr>
        <w:t>描</w:t>
      </w:r>
      <w:r>
        <w:rPr>
          <w:rFonts w:hint="eastAsia" w:cs="Times New Roman"/>
          <w:highlight w:val="none"/>
          <w:lang w:val="en-US" w:eastAsia="zh-CN"/>
        </w:rPr>
        <w:t>电子版投标文件</w:t>
      </w:r>
      <w:r>
        <w:rPr>
          <w:rFonts w:hint="eastAsia" w:ascii="Times New Roman" w:hAnsi="Times New Roman" w:cs="Times New Roman"/>
          <w:color w:val="auto"/>
          <w:highlight w:val="none"/>
          <w:lang w:val="en-US" w:eastAsia="zh-CN"/>
        </w:rPr>
        <w:t>（均须逐页加盖公章）</w:t>
      </w:r>
      <w:r>
        <w:rPr>
          <w:rFonts w:hint="eastAsia" w:cs="Times New Roman"/>
          <w:highlight w:val="none"/>
          <w:lang w:val="en-US" w:eastAsia="zh-CN"/>
        </w:rPr>
        <w:t>。</w:t>
      </w:r>
      <w:r>
        <w:rPr>
          <w:rFonts w:hint="eastAsia"/>
          <w:highlight w:val="none"/>
          <w:lang w:val="en-US" w:eastAsia="zh-CN"/>
        </w:rPr>
        <w:t>投标人编写的投标文件由《投标文件（资质标）》、《投标文件（技术标）》和</w:t>
      </w:r>
      <w:r>
        <w:rPr>
          <w:rFonts w:hint="eastAsia"/>
          <w:lang w:val="en-US" w:eastAsia="zh-CN"/>
        </w:rPr>
        <w:t>《投标文件（商务标）》文件组成，共计</w:t>
      </w:r>
      <w:r>
        <w:rPr>
          <w:rFonts w:hint="eastAsia"/>
          <w:highlight w:val="none"/>
          <w:lang w:val="en-US" w:eastAsia="zh-CN"/>
        </w:rPr>
        <w:t>3</w:t>
      </w:r>
      <w:r>
        <w:rPr>
          <w:rFonts w:hint="eastAsia"/>
          <w:lang w:val="en-US" w:eastAsia="zh-CN"/>
        </w:rPr>
        <w:t>个文件。所有文件应按“公司简称+文件名称”格式命名，并编制目录。</w:t>
      </w:r>
    </w:p>
    <w:p w14:paraId="5D4F8B0C">
      <w:pPr>
        <w:pStyle w:val="28"/>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cs="Times New Roman"/>
          <w:color w:val="auto"/>
        </w:rPr>
      </w:pPr>
      <w:r>
        <w:rPr>
          <w:rFonts w:hint="eastAsia"/>
          <w:lang w:val="en-US" w:eastAsia="zh-CN"/>
        </w:rPr>
        <w:t>1.1.</w:t>
      </w:r>
      <w:r>
        <w:rPr>
          <w:rFonts w:hint="eastAsia" w:ascii="黑体" w:hAnsi="黑体" w:eastAsia="黑体" w:cs="黑体"/>
          <w:b w:val="0"/>
          <w:bCs/>
          <w:sz w:val="21"/>
          <w:szCs w:val="21"/>
          <w:highlight w:val="none"/>
        </w:rPr>
        <w:t>资质文件</w:t>
      </w:r>
      <w:r>
        <w:rPr>
          <w:rFonts w:hint="eastAsia" w:ascii="黑体" w:hAnsi="黑体" w:eastAsia="黑体" w:cs="黑体"/>
          <w:b w:val="0"/>
          <w:bCs/>
          <w:sz w:val="21"/>
          <w:szCs w:val="21"/>
          <w:highlight w:val="none"/>
          <w:lang w:val="en-US" w:eastAsia="zh-CN"/>
        </w:rPr>
        <w:t xml:space="preserve"> </w:t>
      </w:r>
    </w:p>
    <w:p w14:paraId="35EF7D00">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rPr>
      </w:pPr>
      <w:r>
        <w:rPr>
          <w:rFonts w:hint="eastAsia" w:ascii="Times New Roman" w:hAnsi="Times New Roman" w:cs="Times New Roman"/>
          <w:color w:val="auto"/>
        </w:rPr>
        <w:t>营业执照副本原件</w:t>
      </w:r>
      <w:r>
        <w:rPr>
          <w:rFonts w:hint="eastAsia" w:ascii="Times New Roman" w:hAnsi="Times New Roman" w:cs="Times New Roman"/>
          <w:color w:val="auto"/>
          <w:lang w:val="en-US" w:eastAsia="zh-CN"/>
        </w:rPr>
        <w:t>或复印件</w:t>
      </w:r>
      <w:r>
        <w:rPr>
          <w:rFonts w:hint="default" w:ascii="Times New Roman" w:hAnsi="Times New Roman" w:cs="Times New Roman"/>
          <w:color w:val="auto"/>
        </w:rPr>
        <w:t>（</w:t>
      </w:r>
      <w:r>
        <w:rPr>
          <w:rFonts w:hint="eastAsia" w:ascii="Times New Roman" w:hAnsi="Times New Roman" w:cs="Times New Roman"/>
          <w:color w:val="auto"/>
          <w:lang w:eastAsia="zh-CN"/>
        </w:rPr>
        <w:t>须加盖</w:t>
      </w:r>
      <w:r>
        <w:rPr>
          <w:rFonts w:hint="default" w:ascii="Times New Roman" w:hAnsi="Times New Roman" w:cs="Times New Roman"/>
          <w:color w:val="auto"/>
        </w:rPr>
        <w:t>公章）</w:t>
      </w:r>
      <w:r>
        <w:rPr>
          <w:rFonts w:hint="eastAsia" w:ascii="Times New Roman" w:hAnsi="Times New Roman" w:cs="Times New Roman"/>
          <w:color w:val="auto"/>
        </w:rPr>
        <w:t>；</w:t>
      </w:r>
    </w:p>
    <w:p w14:paraId="6D74587B">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rPr>
      </w:pPr>
      <w:r>
        <w:rPr>
          <w:rFonts w:hint="default" w:ascii="Times New Roman" w:hAnsi="Times New Roman" w:cs="Times New Roman"/>
          <w:color w:val="auto"/>
        </w:rPr>
        <w:t>法定代表人授权书（</w:t>
      </w:r>
      <w:r>
        <w:rPr>
          <w:rFonts w:hint="default" w:ascii="Times New Roman" w:hAnsi="Times New Roman" w:cs="Times New Roman"/>
          <w:color w:val="auto"/>
          <w:highlight w:val="none"/>
        </w:rPr>
        <w:t>附件</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rPr>
        <w:t>）；法定代表人参加投标的，提供法人身份证明文件即可；被授权人参加投标的，需提供法定代表人授权委托书（含法人身份证和被授权人身份证正反面复印件）</w:t>
      </w:r>
      <w:r>
        <w:rPr>
          <w:rFonts w:hint="default" w:ascii="Times New Roman" w:hAnsi="Times New Roman" w:cs="Times New Roman"/>
          <w:color w:val="auto"/>
          <w:lang w:val="en-US" w:eastAsia="zh-CN"/>
        </w:rPr>
        <w:t>和</w:t>
      </w:r>
      <w:r>
        <w:rPr>
          <w:rFonts w:hint="default" w:ascii="Times New Roman" w:hAnsi="Times New Roman" w:cs="Times New Roman"/>
          <w:color w:val="auto"/>
        </w:rPr>
        <w:t>被授权人近</w:t>
      </w:r>
      <w:r>
        <w:rPr>
          <w:rFonts w:hint="default" w:ascii="Times New Roman" w:hAnsi="Times New Roman" w:cs="Times New Roman"/>
          <w:color w:val="auto"/>
          <w:lang w:val="en-US" w:eastAsia="zh-CN"/>
        </w:rPr>
        <w:t>6</w:t>
      </w:r>
      <w:r>
        <w:rPr>
          <w:rFonts w:hint="default" w:ascii="Times New Roman" w:hAnsi="Times New Roman" w:cs="Times New Roman"/>
          <w:color w:val="auto"/>
        </w:rPr>
        <w:t>个月</w:t>
      </w:r>
      <w:r>
        <w:rPr>
          <w:rFonts w:hint="default" w:ascii="Times New Roman" w:hAnsi="Times New Roman" w:cs="Times New Roman"/>
          <w:color w:val="auto"/>
          <w:lang w:val="en-US" w:eastAsia="zh-CN"/>
        </w:rPr>
        <w:t>及以上在授权单位的社保</w:t>
      </w:r>
      <w:r>
        <w:rPr>
          <w:rFonts w:hint="default" w:ascii="Times New Roman" w:hAnsi="Times New Roman" w:cs="Times New Roman"/>
          <w:color w:val="auto"/>
        </w:rPr>
        <w:t>缴纳证明</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须加盖公章</w:t>
      </w:r>
      <w:r>
        <w:rPr>
          <w:rFonts w:hint="eastAsia" w:ascii="Times New Roman" w:hAnsi="Times New Roman" w:cs="Times New Roman"/>
          <w:color w:val="auto"/>
          <w:lang w:eastAsia="zh-CN"/>
        </w:rPr>
        <w:t>）；</w:t>
      </w:r>
    </w:p>
    <w:p w14:paraId="54F8FBE5">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rPr>
        <w:t>经会计师事务所审计且出具无保留意见的近三年的财务审计报告，并加盖公章，包括但不限于报告页、经审计的资产负债表、利润表、现金流量表及报表附注</w:t>
      </w:r>
      <w:r>
        <w:rPr>
          <w:rFonts w:hint="eastAsia" w:ascii="Times New Roman" w:hAnsi="Times New Roman" w:cs="Times New Roman"/>
          <w:color w:val="auto"/>
          <w:lang w:eastAsia="zh-CN"/>
        </w:rPr>
        <w:t>，且未显示异常</w:t>
      </w:r>
      <w:r>
        <w:rPr>
          <w:rFonts w:hint="eastAsia" w:ascii="Times New Roman" w:hAnsi="Times New Roman" w:cs="Times New Roman"/>
          <w:color w:val="auto"/>
        </w:rPr>
        <w:t>。如投标人公司没有经审计的财务报告，可提供加盖公章的近三年财务报表，包括但不限于资产负债表、利润表、现金流量表</w:t>
      </w:r>
      <w:r>
        <w:rPr>
          <w:rFonts w:hint="eastAsia" w:ascii="Times New Roman" w:hAnsi="Times New Roman" w:cs="Times New Roman"/>
          <w:color w:val="auto"/>
          <w:lang w:eastAsia="zh-CN"/>
        </w:rPr>
        <w:t>；</w:t>
      </w:r>
      <w:r>
        <w:rPr>
          <w:rFonts w:hint="eastAsia" w:ascii="Times New Roman" w:hAnsi="Times New Roman" w:cs="Times New Roman"/>
          <w:color w:val="auto"/>
        </w:rPr>
        <w:t>应提供中文版本的审计报告或财务报表</w:t>
      </w:r>
      <w:r>
        <w:rPr>
          <w:rFonts w:hint="eastAsia" w:ascii="Times New Roman" w:hAnsi="Times New Roman" w:cs="Times New Roman"/>
          <w:color w:val="auto"/>
          <w:lang w:eastAsia="zh-CN"/>
        </w:rPr>
        <w:t>，</w:t>
      </w:r>
      <w:r>
        <w:rPr>
          <w:rFonts w:hint="default" w:ascii="Times New Roman" w:hAnsi="Times New Roman" w:cs="Times New Roman"/>
          <w:color w:val="auto"/>
          <w:lang w:val="en-US" w:eastAsia="zh-CN"/>
        </w:rPr>
        <w:t>必须连续</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同时填写投标人基本情况表</w:t>
      </w:r>
      <w:r>
        <w:rPr>
          <w:rFonts w:hint="eastAsia" w:ascii="Times New Roman" w:hAnsi="Times New Roman" w:cs="Times New Roman"/>
          <w:color w:val="auto"/>
          <w:lang w:val="en-US" w:eastAsia="zh-CN"/>
        </w:rPr>
        <w:t>和资产情况汇总表</w:t>
      </w:r>
      <w:r>
        <w:rPr>
          <w:rFonts w:hint="default" w:ascii="Times New Roman" w:hAnsi="Times New Roman" w:cs="Times New Roman"/>
          <w:color w:val="auto"/>
          <w:lang w:val="en-US" w:eastAsia="zh-CN"/>
        </w:rPr>
        <w:t>（</w:t>
      </w:r>
      <w:r>
        <w:rPr>
          <w:rFonts w:hint="default" w:ascii="Times New Roman" w:hAnsi="Times New Roman" w:cs="Times New Roman"/>
          <w:color w:val="auto"/>
          <w:highlight w:val="none"/>
          <w:lang w:val="en-US" w:eastAsia="zh-CN"/>
        </w:rPr>
        <w:t>附件</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lang w:val="en-US" w:eastAsia="zh-CN"/>
        </w:rPr>
        <w:t>）</w:t>
      </w:r>
      <w:r>
        <w:rPr>
          <w:rFonts w:hint="eastAsia" w:ascii="宋体" w:hAnsi="宋体" w:eastAsia="宋体" w:cs="Times New Roman"/>
          <w:b w:val="0"/>
          <w:bCs/>
          <w:lang w:val="en-US" w:eastAsia="zh-CN"/>
        </w:rPr>
        <w:t>；</w:t>
      </w:r>
    </w:p>
    <w:p w14:paraId="7A60C7D7">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rPr>
      </w:pPr>
      <w:r>
        <w:rPr>
          <w:rFonts w:hint="eastAsia" w:ascii="Times New Roman" w:hAnsi="Times New Roman" w:cs="Times New Roman"/>
          <w:color w:val="auto"/>
          <w:lang w:val="en-US" w:eastAsia="zh-CN"/>
        </w:rPr>
        <w:t>企业最近半年完税证明、信用证明材料（征信报告）；</w:t>
      </w:r>
    </w:p>
    <w:p w14:paraId="119848A3">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年度纳税信用评价信息（可从电子税务局查询截图，须加盖公章）；</w:t>
      </w:r>
    </w:p>
    <w:p w14:paraId="4E46CB10">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default" w:ascii="Times New Roman" w:hAnsi="Times New Roman" w:cs="Times New Roman"/>
          <w:color w:val="auto"/>
        </w:rPr>
      </w:pPr>
      <w:r>
        <w:rPr>
          <w:rFonts w:hint="eastAsia" w:ascii="Times New Roman" w:hAnsi="Times New Roman" w:cs="Times New Roman"/>
          <w:color w:val="auto"/>
          <w:lang w:val="en-US" w:eastAsia="zh-CN"/>
        </w:rPr>
        <w:t>企业对外担保说明（写明贵单位对外有无对外担保和质押业务，须加盖公章）；</w:t>
      </w:r>
    </w:p>
    <w:p w14:paraId="7C89376D">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lang w:val="en-US" w:eastAsia="zh-CN"/>
        </w:rPr>
      </w:pPr>
      <w:r>
        <w:rPr>
          <w:rFonts w:hint="default" w:ascii="Times New Roman" w:hAnsi="Times New Roman" w:cs="Times New Roman"/>
          <w:color w:val="auto"/>
          <w:lang w:val="en-US" w:eastAsia="zh-CN"/>
        </w:rPr>
        <w:t>投标人在国家企业信用信息公示系统中无与本项目有关的行政处罚、经营异常和失信信息的声明（</w:t>
      </w:r>
      <w:r>
        <w:rPr>
          <w:rFonts w:hint="default" w:ascii="Times New Roman" w:hAnsi="Times New Roman" w:cs="Times New Roman"/>
          <w:color w:val="auto"/>
          <w:highlight w:val="none"/>
          <w:lang w:val="en-US" w:eastAsia="zh-CN"/>
        </w:rPr>
        <w:t>附投标</w:t>
      </w:r>
      <w:r>
        <w:rPr>
          <w:rFonts w:hint="eastAsia" w:ascii="Times New Roman" w:hAnsi="Times New Roman" w:cs="Times New Roman"/>
          <w:color w:val="auto"/>
          <w:highlight w:val="none"/>
          <w:lang w:val="en-US" w:eastAsia="zh-CN"/>
        </w:rPr>
        <w:t>前1</w:t>
      </w:r>
      <w:r>
        <w:rPr>
          <w:rFonts w:hint="default" w:ascii="Times New Roman" w:hAnsi="Times New Roman" w:cs="Times New Roman"/>
          <w:color w:val="auto"/>
          <w:highlight w:val="none"/>
          <w:lang w:val="en-US" w:eastAsia="zh-CN"/>
        </w:rPr>
        <w:t>日系统内相关截图</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p>
    <w:p w14:paraId="4402A5B1">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投标人应具有相应生产证明，若非原厂商需提供原厂商授权书（原件或加盖投标单位公章的彩色打印件）；</w:t>
      </w:r>
    </w:p>
    <w:p w14:paraId="1E42F048">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保密承诺函（附件</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须</w:t>
      </w:r>
      <w:r>
        <w:rPr>
          <w:rFonts w:hint="default" w:ascii="Times New Roman" w:hAnsi="Times New Roman" w:cs="Times New Roman"/>
          <w:color w:val="auto"/>
          <w:highlight w:val="none"/>
          <w:lang w:val="en-US" w:eastAsia="zh-CN"/>
        </w:rPr>
        <w:t>盖章）</w:t>
      </w:r>
      <w:r>
        <w:rPr>
          <w:rFonts w:hint="eastAsia" w:ascii="Times New Roman" w:hAnsi="Times New Roman" w:cs="Times New Roman"/>
          <w:color w:val="auto"/>
          <w:highlight w:val="none"/>
          <w:lang w:val="en-US" w:eastAsia="zh-CN"/>
        </w:rPr>
        <w:t>；</w:t>
      </w:r>
    </w:p>
    <w:p w14:paraId="3D766582">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2022年1月1日至今，企业近三年同类项目业绩证明，须提供用户清单、采购合同复印件</w:t>
      </w:r>
      <w:r>
        <w:rPr>
          <w:rFonts w:hint="eastAsia" w:cs="Times New Roman"/>
          <w:highlight w:val="none"/>
        </w:rPr>
        <w:t>；</w:t>
      </w:r>
    </w:p>
    <w:p w14:paraId="08F8AAFD">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420" w:firstLineChars="20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投标保证金缴纳凭证，同时正文描述付款账号、户名、开户行名称、开户行行号、保证金金额。</w:t>
      </w:r>
    </w:p>
    <w:p w14:paraId="0FCAA68A">
      <w:pPr>
        <w:pStyle w:val="28"/>
        <w:keepNext w:val="0"/>
        <w:keepLines w:val="0"/>
        <w:pageBreakBefore w:val="0"/>
        <w:widowControl w:val="0"/>
        <w:numPr>
          <w:ilvl w:val="0"/>
          <w:numId w:val="7"/>
        </w:numPr>
        <w:kinsoku/>
        <w:wordWrap/>
        <w:overflowPunct/>
        <w:topLinePunct w:val="0"/>
        <w:autoSpaceDE/>
        <w:autoSpaceDN/>
        <w:bidi w:val="0"/>
        <w:adjustRightInd/>
        <w:snapToGrid/>
        <w:spacing w:line="440" w:lineRule="exact"/>
        <w:ind w:left="0" w:leftChars="0" w:firstLine="422" w:firstLineChars="200"/>
        <w:textAlignment w:val="auto"/>
        <w:rPr>
          <w:b/>
          <w:bCs/>
          <w:color w:val="auto"/>
        </w:rPr>
      </w:pPr>
      <w:r>
        <w:rPr>
          <w:rFonts w:hint="eastAsia"/>
          <w:b/>
          <w:bCs/>
          <w:color w:val="auto"/>
        </w:rPr>
        <w:t>对于投标人资质审核不通过的，招标人有权拒绝其投标。</w:t>
      </w:r>
    </w:p>
    <w:p w14:paraId="1F689E4F">
      <w:pPr>
        <w:pStyle w:val="28"/>
        <w:keepNext w:val="0"/>
        <w:keepLines w:val="0"/>
        <w:pageBreakBefore w:val="0"/>
        <w:widowControl w:val="0"/>
        <w:numPr>
          <w:ilvl w:val="1"/>
          <w:numId w:val="6"/>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ascii="黑体" w:hAnsi="黑体" w:eastAsia="黑体" w:cs="黑体"/>
          <w:b w:val="0"/>
          <w:bCs/>
          <w:sz w:val="21"/>
          <w:szCs w:val="21"/>
          <w:highlight w:val="none"/>
        </w:rPr>
      </w:pPr>
      <w:r>
        <w:rPr>
          <w:rFonts w:hint="eastAsia" w:ascii="黑体" w:hAnsi="黑体" w:eastAsia="黑体" w:cs="黑体"/>
          <w:b w:val="0"/>
          <w:bCs/>
          <w:sz w:val="21"/>
          <w:szCs w:val="21"/>
          <w:highlight w:val="none"/>
          <w:lang w:val="en-US" w:eastAsia="zh-CN"/>
        </w:rPr>
        <w:t>技术标</w:t>
      </w:r>
    </w:p>
    <w:p w14:paraId="5FAE5E7E">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rPr>
          <w:rFonts w:hint="eastAsia" w:cs="Times New Roman"/>
          <w:highlight w:val="none"/>
          <w:lang w:eastAsia="zh-CN"/>
        </w:rPr>
      </w:pPr>
      <w:r>
        <w:rPr>
          <w:rFonts w:hint="eastAsia" w:cs="Times New Roman"/>
          <w:highlight w:val="none"/>
        </w:rPr>
        <w:t>详见技术标书</w:t>
      </w:r>
      <w:r>
        <w:rPr>
          <w:rFonts w:hint="eastAsia" w:cs="Times New Roman"/>
          <w:highlight w:val="none"/>
          <w:lang w:eastAsia="zh-CN"/>
        </w:rPr>
        <w:t>。</w:t>
      </w:r>
    </w:p>
    <w:p w14:paraId="7CB8DE54">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技术配置对比表。</w:t>
      </w:r>
    </w:p>
    <w:p w14:paraId="3D6F729D">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cyan"/>
          <w:lang w:val="en-US" w:eastAsia="zh-CN"/>
        </w:rPr>
      </w:pPr>
      <w:r>
        <w:rPr>
          <w:rFonts w:hint="eastAsia" w:cs="Times New Roman"/>
          <w:highlight w:val="none"/>
          <w:lang w:val="en-US" w:eastAsia="zh-CN"/>
        </w:rPr>
        <w:t>投标设备配置明细表，列明项目设备分项配置规格型号、品牌等信息，但注意：</w:t>
      </w:r>
      <w:r>
        <w:rPr>
          <w:rFonts w:hint="eastAsia" w:cs="Times New Roman"/>
          <w:b/>
          <w:bCs/>
          <w:highlight w:val="none"/>
          <w:lang w:val="en-US" w:eastAsia="zh-CN"/>
        </w:rPr>
        <w:t>此表在技术标书中，禁止出现任何分项价格及项目总价</w:t>
      </w:r>
      <w:r>
        <w:rPr>
          <w:rFonts w:hint="eastAsia" w:cs="Times New Roman"/>
          <w:highlight w:val="none"/>
          <w:lang w:val="en-US" w:eastAsia="zh-CN"/>
        </w:rPr>
        <w:t>；</w:t>
      </w:r>
    </w:p>
    <w:p w14:paraId="69AE970B">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技术规格偏离表；</w:t>
      </w:r>
    </w:p>
    <w:p w14:paraId="5D2BBFAC">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 xml:space="preserve">技术性能、参数的描述； </w:t>
      </w:r>
    </w:p>
    <w:p w14:paraId="1760B338">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备品备件工具材料明细表；</w:t>
      </w:r>
    </w:p>
    <w:p w14:paraId="6E70AD99">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 xml:space="preserve">技术标书要求的其他内容。 </w:t>
      </w:r>
    </w:p>
    <w:p w14:paraId="328E9B9D">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其他</w:t>
      </w:r>
    </w:p>
    <w:p w14:paraId="1B6DBABE">
      <w:pPr>
        <w:pStyle w:val="28"/>
        <w:keepNext w:val="0"/>
        <w:keepLines w:val="0"/>
        <w:pageBreakBefore w:val="0"/>
        <w:widowControl w:val="0"/>
        <w:numPr>
          <w:ilvl w:val="1"/>
          <w:numId w:val="6"/>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ascii="黑体" w:hAnsi="黑体" w:eastAsia="黑体" w:cs="黑体"/>
          <w:b w:val="0"/>
          <w:bCs/>
          <w:sz w:val="21"/>
          <w:szCs w:val="21"/>
          <w:highlight w:val="none"/>
          <w:lang w:val="en-US" w:eastAsia="zh-CN"/>
        </w:rPr>
      </w:pPr>
      <w:r>
        <w:rPr>
          <w:rFonts w:hint="eastAsia" w:ascii="黑体" w:hAnsi="黑体" w:eastAsia="黑体" w:cs="黑体"/>
          <w:b w:val="0"/>
          <w:bCs/>
          <w:sz w:val="21"/>
          <w:szCs w:val="21"/>
          <w:highlight w:val="none"/>
          <w:lang w:val="en-US" w:eastAsia="zh-CN"/>
        </w:rPr>
        <w:t>商务标</w:t>
      </w:r>
    </w:p>
    <w:p w14:paraId="36BEA27F">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rPr>
      </w:pPr>
      <w:r>
        <w:rPr>
          <w:rFonts w:hint="eastAsia" w:cs="Times New Roman"/>
          <w:highlight w:val="none"/>
          <w:lang w:val="en-US" w:eastAsia="zh-CN"/>
        </w:rPr>
        <w:t>开标一览表（附件5）</w:t>
      </w:r>
      <w:r>
        <w:rPr>
          <w:rFonts w:hint="eastAsia" w:cs="Times New Roman"/>
          <w:highlight w:val="none"/>
        </w:rPr>
        <w:t>；</w:t>
      </w:r>
    </w:p>
    <w:p w14:paraId="0167F81C">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rPr>
      </w:pPr>
      <w:r>
        <w:rPr>
          <w:rFonts w:hint="eastAsia" w:cs="Times New Roman"/>
          <w:highlight w:val="none"/>
        </w:rPr>
        <w:t>投标函（附件</w:t>
      </w:r>
      <w:r>
        <w:rPr>
          <w:rFonts w:hint="eastAsia" w:cs="Times New Roman"/>
          <w:highlight w:val="none"/>
          <w:lang w:val="en-US" w:eastAsia="zh-CN"/>
        </w:rPr>
        <w:t>6</w:t>
      </w:r>
      <w:r>
        <w:rPr>
          <w:rFonts w:hint="eastAsia" w:cs="Times New Roman"/>
          <w:highlight w:val="none"/>
        </w:rPr>
        <w:t>）</w:t>
      </w:r>
      <w:r>
        <w:rPr>
          <w:rFonts w:hint="eastAsia" w:cs="Times New Roman"/>
          <w:highlight w:val="none"/>
          <w:lang w:eastAsia="zh-CN"/>
        </w:rPr>
        <w:t>；</w:t>
      </w:r>
    </w:p>
    <w:p w14:paraId="73D1C963">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rPr>
      </w:pPr>
      <w:r>
        <w:rPr>
          <w:rFonts w:hint="eastAsia" w:cs="Times New Roman"/>
          <w:highlight w:val="none"/>
          <w:lang w:val="en-US" w:eastAsia="zh-CN"/>
        </w:rPr>
        <w:t>技术规格偏离表（附件4）</w:t>
      </w:r>
    </w:p>
    <w:p w14:paraId="290ED0C2">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rPr>
      </w:pPr>
      <w:r>
        <w:rPr>
          <w:rFonts w:hint="eastAsia" w:cs="Times New Roman"/>
          <w:highlight w:val="none"/>
        </w:rPr>
        <w:t>商务条款偏离表（附件</w:t>
      </w:r>
      <w:r>
        <w:rPr>
          <w:rFonts w:hint="eastAsia" w:cs="Times New Roman"/>
          <w:highlight w:val="none"/>
          <w:lang w:val="en-US" w:eastAsia="zh-CN"/>
        </w:rPr>
        <w:t>7</w:t>
      </w:r>
      <w:r>
        <w:rPr>
          <w:rFonts w:hint="eastAsia" w:cs="Times New Roman"/>
          <w:highlight w:val="none"/>
        </w:rPr>
        <w:t>）；</w:t>
      </w:r>
    </w:p>
    <w:p w14:paraId="51A1A787">
      <w:pPr>
        <w:pStyle w:val="28"/>
        <w:keepNext w:val="0"/>
        <w:keepLines w:val="0"/>
        <w:pageBreakBefore w:val="0"/>
        <w:widowControl w:val="0"/>
        <w:numPr>
          <w:ilvl w:val="2"/>
          <w:numId w:val="6"/>
        </w:numPr>
        <w:kinsoku/>
        <w:wordWrap/>
        <w:overflowPunct/>
        <w:topLinePunct w:val="0"/>
        <w:autoSpaceDE/>
        <w:autoSpaceDN/>
        <w:bidi w:val="0"/>
        <w:adjustRightInd/>
        <w:snapToGrid/>
        <w:spacing w:line="440" w:lineRule="exact"/>
        <w:ind w:left="0" w:leftChars="0" w:firstLine="0" w:firstLineChars="0"/>
        <w:textAlignment w:val="auto"/>
        <w:rPr>
          <w:rFonts w:hint="default" w:cs="Times New Roman"/>
          <w:highlight w:val="none"/>
          <w:lang w:val="en-US" w:eastAsia="zh-CN"/>
        </w:rPr>
      </w:pPr>
      <w:r>
        <w:rPr>
          <w:rFonts w:hint="eastAsia" w:cs="Times New Roman"/>
          <w:highlight w:val="none"/>
        </w:rPr>
        <w:t>分项报价表（附件</w:t>
      </w:r>
      <w:r>
        <w:rPr>
          <w:rFonts w:hint="eastAsia" w:cs="Times New Roman"/>
          <w:highlight w:val="none"/>
          <w:lang w:val="en-US" w:eastAsia="zh-CN"/>
        </w:rPr>
        <w:t>8</w:t>
      </w:r>
      <w:r>
        <w:rPr>
          <w:rFonts w:hint="eastAsia" w:cs="Times New Roman"/>
          <w:highlight w:val="none"/>
        </w:rPr>
        <w:t>）；</w:t>
      </w:r>
    </w:p>
    <w:p w14:paraId="3ECCB717">
      <w:pPr>
        <w:pStyle w:val="2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Chars="0"/>
        <w:textAlignment w:val="auto"/>
        <w:outlineLvl w:val="2"/>
        <w:rPr>
          <w:rFonts w:hint="eastAsia" w:ascii="黑体" w:hAnsi="黑体" w:eastAsia="黑体" w:cs="黑体"/>
          <w:b w:val="0"/>
          <w:bCs/>
          <w:sz w:val="21"/>
          <w:szCs w:val="21"/>
          <w:highlight w:val="none"/>
          <w:lang w:val="en-US" w:eastAsia="zh-CN"/>
        </w:rPr>
      </w:pPr>
      <w:r>
        <w:rPr>
          <w:rFonts w:hint="eastAsia" w:hAnsi="黑体" w:cs="黑体"/>
          <w:b w:val="0"/>
          <w:sz w:val="24"/>
          <w:szCs w:val="24"/>
          <w:highlight w:val="none"/>
          <w:lang w:val="en-US" w:eastAsia="zh-CN"/>
        </w:rPr>
        <w:t>2.</w:t>
      </w:r>
      <w:r>
        <w:rPr>
          <w:rFonts w:hint="eastAsia" w:ascii="黑体" w:hAnsi="黑体" w:eastAsia="黑体" w:cs="黑体"/>
          <w:b w:val="0"/>
          <w:sz w:val="24"/>
          <w:szCs w:val="24"/>
          <w:highlight w:val="none"/>
          <w:lang w:val="en-US" w:eastAsia="zh-CN"/>
        </w:rPr>
        <w:t>投标文件的</w:t>
      </w:r>
      <w:r>
        <w:rPr>
          <w:rFonts w:hint="eastAsia" w:hAnsi="黑体" w:cs="黑体"/>
          <w:b w:val="0"/>
          <w:sz w:val="24"/>
          <w:szCs w:val="24"/>
          <w:highlight w:val="none"/>
          <w:lang w:val="en-US" w:eastAsia="zh-CN"/>
        </w:rPr>
        <w:t>装订</w:t>
      </w:r>
      <w:r>
        <w:rPr>
          <w:rFonts w:hint="eastAsia" w:ascii="黑体" w:hAnsi="黑体" w:eastAsia="黑体" w:cs="黑体"/>
          <w:b w:val="0"/>
          <w:sz w:val="24"/>
          <w:szCs w:val="24"/>
          <w:highlight w:val="none"/>
          <w:lang w:val="en-US" w:eastAsia="zh-CN"/>
        </w:rPr>
        <w:t>、密封</w:t>
      </w:r>
    </w:p>
    <w:p w14:paraId="05489F94">
      <w:pPr>
        <w:pStyle w:val="27"/>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0"/>
        <w:textAlignment w:val="auto"/>
        <w:outlineLvl w:val="3"/>
        <w:rPr>
          <w:rFonts w:hint="eastAsia" w:ascii="黑体" w:hAnsi="黑体" w:eastAsia="黑体" w:cs="黑体"/>
          <w:b w:val="0"/>
          <w:bCs/>
          <w:sz w:val="21"/>
          <w:szCs w:val="21"/>
          <w:highlight w:val="none"/>
          <w:lang w:val="en-US" w:eastAsia="zh-CN"/>
        </w:rPr>
      </w:pPr>
      <w:r>
        <w:rPr>
          <w:rFonts w:hint="eastAsia" w:hAnsi="黑体" w:cs="黑体"/>
          <w:b w:val="0"/>
          <w:bCs/>
          <w:sz w:val="21"/>
          <w:szCs w:val="21"/>
          <w:highlight w:val="none"/>
          <w:lang w:val="en-US" w:eastAsia="zh-CN"/>
        </w:rPr>
        <w:t>2.1.</w:t>
      </w:r>
      <w:r>
        <w:rPr>
          <w:rFonts w:hint="eastAsia" w:ascii="黑体" w:hAnsi="黑体" w:eastAsia="黑体" w:cs="黑体"/>
          <w:b w:val="0"/>
          <w:bCs/>
          <w:sz w:val="21"/>
          <w:szCs w:val="21"/>
          <w:highlight w:val="none"/>
          <w:lang w:val="en-US" w:eastAsia="zh-CN"/>
        </w:rPr>
        <w:t>装订要求</w:t>
      </w:r>
    </w:p>
    <w:p w14:paraId="7476E1E0">
      <w:pPr>
        <w:pStyle w:val="28"/>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Chars="0" w:firstLine="420" w:firstLineChars="200"/>
        <w:textAlignment w:val="auto"/>
        <w:outlineLvl w:val="9"/>
        <w:rPr>
          <w:rFonts w:hint="eastAsia" w:ascii="宋体" w:hAnsi="宋体" w:eastAsia="宋体" w:cs="宋体"/>
          <w:i w:val="0"/>
          <w:iCs w:val="0"/>
          <w:caps w:val="0"/>
          <w:color w:val="0F1115"/>
          <w:spacing w:val="0"/>
          <w:sz w:val="21"/>
          <w:szCs w:val="21"/>
          <w:shd w:val="clear" w:fill="FFFFFF"/>
          <w:lang w:val="en-US" w:eastAsia="zh-CN"/>
        </w:rPr>
      </w:pPr>
      <w:r>
        <w:rPr>
          <w:rFonts w:hint="eastAsia" w:ascii="宋体" w:hAnsi="宋体" w:eastAsia="宋体" w:cs="宋体"/>
          <w:i w:val="0"/>
          <w:iCs w:val="0"/>
          <w:caps w:val="0"/>
          <w:color w:val="0F1115"/>
          <w:spacing w:val="0"/>
          <w:sz w:val="21"/>
          <w:szCs w:val="21"/>
          <w:shd w:val="clear" w:fill="FFFFFF"/>
        </w:rPr>
        <w:t>投标文件须按招标文件规定的组成顺序装订成册，资格证明文件、技术标文件、商务标文件</w:t>
      </w:r>
      <w:r>
        <w:rPr>
          <w:rFonts w:hint="default" w:ascii="宋体" w:hAnsi="宋体" w:eastAsia="宋体" w:cs="宋体"/>
          <w:i w:val="0"/>
          <w:iCs w:val="0"/>
          <w:caps w:val="0"/>
          <w:color w:val="0F1115"/>
          <w:spacing w:val="0"/>
          <w:sz w:val="21"/>
          <w:szCs w:val="21"/>
          <w:shd w:val="clear" w:fill="FFFFFF"/>
        </w:rPr>
        <w:t>各自独立成册。每类文件的总册数不得超过两册。所有文件册须分别进行胶装，不得采用活页、散页形式。</w:t>
      </w:r>
    </w:p>
    <w:p w14:paraId="10489572">
      <w:pPr>
        <w:pStyle w:val="27"/>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0"/>
        <w:textAlignment w:val="auto"/>
        <w:outlineLvl w:val="3"/>
        <w:rPr>
          <w:rFonts w:hint="eastAsia" w:ascii="黑体" w:hAnsi="黑体" w:eastAsia="黑体" w:cs="黑体"/>
          <w:b w:val="0"/>
          <w:bCs/>
          <w:sz w:val="21"/>
          <w:szCs w:val="21"/>
          <w:highlight w:val="none"/>
          <w:lang w:val="en-US" w:eastAsia="zh-CN"/>
        </w:rPr>
      </w:pPr>
      <w:r>
        <w:rPr>
          <w:rFonts w:hint="eastAsia" w:hAnsi="黑体" w:cs="黑体"/>
          <w:b w:val="0"/>
          <w:bCs/>
          <w:sz w:val="21"/>
          <w:szCs w:val="21"/>
          <w:highlight w:val="none"/>
          <w:lang w:val="en-US" w:eastAsia="zh-CN"/>
        </w:rPr>
        <w:t>2.2.</w:t>
      </w:r>
      <w:r>
        <w:rPr>
          <w:rFonts w:hint="eastAsia" w:ascii="黑体" w:hAnsi="黑体" w:eastAsia="黑体" w:cs="黑体"/>
          <w:b w:val="0"/>
          <w:bCs/>
          <w:sz w:val="21"/>
          <w:szCs w:val="21"/>
          <w:highlight w:val="none"/>
          <w:lang w:val="en-US" w:eastAsia="zh-CN"/>
        </w:rPr>
        <w:t>纸质文件要求</w:t>
      </w:r>
    </w:p>
    <w:p w14:paraId="584C1D71">
      <w:pPr>
        <w:pStyle w:val="27"/>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200"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2.2.1投标文件正面封皮应标明投标人单位名称、地址，并在单位名称处加盖公章。</w:t>
      </w:r>
    </w:p>
    <w:p w14:paraId="1624BC68">
      <w:pPr>
        <w:pStyle w:val="27"/>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200"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2资质标书、技术标书、商务标书：均须提供一式2份，包括正本1份、副本1份，正、副本均须在封面显著位置明确标注“正本”或“副本”字样。保证正本与副本的内容一致。若正本与副本内容不一致，以正本为准。</w:t>
      </w:r>
    </w:p>
    <w:p w14:paraId="65D3B633">
      <w:pPr>
        <w:pStyle w:val="27"/>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200" w:firstLine="420" w:firstLineChars="200"/>
        <w:textAlignment w:val="auto"/>
        <w:outlineLvl w:val="9"/>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2.2.3开标一览表，另外单独提供1份。</w:t>
      </w:r>
    </w:p>
    <w:p w14:paraId="272D4427">
      <w:pPr>
        <w:pStyle w:val="27"/>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0"/>
        <w:textAlignment w:val="auto"/>
        <w:outlineLvl w:val="3"/>
        <w:rPr>
          <w:rFonts w:hint="eastAsia" w:ascii="黑体" w:hAnsi="黑体" w:eastAsia="黑体" w:cs="黑体"/>
          <w:b w:val="0"/>
          <w:bCs/>
          <w:sz w:val="21"/>
          <w:szCs w:val="21"/>
          <w:highlight w:val="none"/>
          <w:lang w:val="en-US" w:eastAsia="zh-CN"/>
        </w:rPr>
      </w:pPr>
      <w:r>
        <w:rPr>
          <w:rFonts w:hint="eastAsia" w:hAnsi="黑体" w:cs="黑体"/>
          <w:b w:val="0"/>
          <w:bCs/>
          <w:sz w:val="21"/>
          <w:szCs w:val="21"/>
          <w:highlight w:val="none"/>
          <w:lang w:val="en-US" w:eastAsia="zh-CN"/>
        </w:rPr>
        <w:t>2.3</w:t>
      </w:r>
      <w:r>
        <w:rPr>
          <w:rFonts w:hint="eastAsia" w:ascii="黑体" w:hAnsi="黑体" w:eastAsia="黑体" w:cs="黑体"/>
          <w:b w:val="0"/>
          <w:bCs/>
          <w:sz w:val="21"/>
          <w:szCs w:val="21"/>
          <w:highlight w:val="none"/>
          <w:lang w:val="en-US" w:eastAsia="zh-CN"/>
        </w:rPr>
        <w:t>电子文件要求</w:t>
      </w:r>
    </w:p>
    <w:p w14:paraId="60FFE3B2">
      <w:pPr>
        <w:pStyle w:val="27"/>
        <w:keepNext w:val="0"/>
        <w:keepLines w:val="0"/>
        <w:pageBreakBefore w:val="0"/>
        <w:widowControl w:val="0"/>
        <w:numPr>
          <w:ilvl w:val="2"/>
          <w:numId w:val="0"/>
        </w:numPr>
        <w:kinsoku/>
        <w:wordWrap/>
        <w:overflowPunct/>
        <w:topLinePunct w:val="0"/>
        <w:autoSpaceDE/>
        <w:autoSpaceDN/>
        <w:bidi w:val="0"/>
        <w:adjustRightInd/>
        <w:snapToGrid/>
        <w:spacing w:before="79" w:beforeLines="25" w:line="440" w:lineRule="exact"/>
        <w:ind w:left="420" w:leftChars="0" w:hanging="420" w:hangingChars="200"/>
        <w:textAlignment w:val="auto"/>
        <w:outlineLvl w:val="9"/>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kern w:val="2"/>
          <w:sz w:val="21"/>
          <w:szCs w:val="21"/>
          <w:shd w:val="clear" w:fill="FFFFFF"/>
          <w:lang w:val="en-US" w:eastAsia="zh-CN" w:bidi="ar-SA"/>
        </w:rPr>
        <w:t>2.3</w:t>
      </w:r>
      <w:r>
        <w:rPr>
          <w:rFonts w:hint="default" w:ascii="宋体" w:hAnsi="宋体" w:eastAsia="宋体" w:cs="宋体"/>
          <w:b w:val="0"/>
          <w:bCs w:val="0"/>
          <w:i w:val="0"/>
          <w:iCs w:val="0"/>
          <w:caps w:val="0"/>
          <w:color w:val="0F1115"/>
          <w:spacing w:val="0"/>
          <w:kern w:val="2"/>
          <w:sz w:val="21"/>
          <w:szCs w:val="21"/>
          <w:shd w:val="clear" w:fill="FFFFFF"/>
          <w:lang w:val="en-US" w:eastAsia="zh-CN" w:bidi="ar-SA"/>
        </w:rPr>
        <w:t>.1.</w:t>
      </w:r>
      <w:r>
        <w:rPr>
          <w:rFonts w:hint="eastAsia" w:ascii="宋体" w:hAnsi="宋体" w:eastAsia="宋体" w:cs="宋体"/>
          <w:b w:val="0"/>
          <w:bCs w:val="0"/>
          <w:i w:val="0"/>
          <w:iCs w:val="0"/>
          <w:caps w:val="0"/>
          <w:color w:val="0F1115"/>
          <w:spacing w:val="0"/>
          <w:sz w:val="21"/>
          <w:szCs w:val="21"/>
          <w:shd w:val="clear" w:fill="FFFFFF"/>
          <w:lang w:val="en-US" w:eastAsia="zh-CN"/>
        </w:rPr>
        <w:t>U盘存储版：包含资格标文件、技术标文件、商务标文件的加盖公章的完整电子版文件1份。</w:t>
      </w:r>
    </w:p>
    <w:p w14:paraId="598BDA70">
      <w:pPr>
        <w:pStyle w:val="27"/>
        <w:keepNext w:val="0"/>
        <w:keepLines w:val="0"/>
        <w:pageBreakBefore w:val="0"/>
        <w:widowControl w:val="0"/>
        <w:numPr>
          <w:ilvl w:val="2"/>
          <w:numId w:val="0"/>
        </w:numPr>
        <w:kinsoku/>
        <w:wordWrap/>
        <w:overflowPunct/>
        <w:topLinePunct w:val="0"/>
        <w:autoSpaceDE/>
        <w:autoSpaceDN/>
        <w:bidi w:val="0"/>
        <w:adjustRightInd/>
        <w:snapToGrid/>
        <w:spacing w:before="79" w:beforeLines="25" w:line="440" w:lineRule="exact"/>
        <w:ind w:left="420" w:leftChars="0" w:hanging="420" w:hangingChars="200"/>
        <w:textAlignment w:val="auto"/>
        <w:outlineLvl w:val="9"/>
        <w:rPr>
          <w:rFonts w:hint="default"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kern w:val="2"/>
          <w:sz w:val="21"/>
          <w:szCs w:val="21"/>
          <w:shd w:val="clear" w:fill="FFFFFF"/>
          <w:lang w:val="en-US" w:eastAsia="zh-CN" w:bidi="ar-SA"/>
        </w:rPr>
        <w:t>2.3</w:t>
      </w:r>
      <w:r>
        <w:rPr>
          <w:rFonts w:hint="default" w:ascii="宋体" w:hAnsi="宋体" w:eastAsia="宋体" w:cs="宋体"/>
          <w:b w:val="0"/>
          <w:bCs w:val="0"/>
          <w:i w:val="0"/>
          <w:iCs w:val="0"/>
          <w:caps w:val="0"/>
          <w:color w:val="0F1115"/>
          <w:spacing w:val="0"/>
          <w:kern w:val="2"/>
          <w:sz w:val="21"/>
          <w:szCs w:val="21"/>
          <w:shd w:val="clear" w:fill="FFFFFF"/>
          <w:lang w:val="en-US" w:eastAsia="zh-CN" w:bidi="ar-SA"/>
        </w:rPr>
        <w:t>.2.</w:t>
      </w:r>
      <w:r>
        <w:rPr>
          <w:rFonts w:hint="eastAsia" w:ascii="宋体" w:hAnsi="宋体" w:eastAsia="宋体" w:cs="宋体"/>
          <w:b w:val="0"/>
          <w:bCs w:val="0"/>
          <w:i w:val="0"/>
          <w:iCs w:val="0"/>
          <w:caps w:val="0"/>
          <w:color w:val="0F1115"/>
          <w:spacing w:val="0"/>
          <w:sz w:val="21"/>
          <w:szCs w:val="21"/>
          <w:shd w:val="clear" w:fill="FFFFFF"/>
          <w:lang w:val="en-US" w:eastAsia="zh-CN"/>
        </w:rPr>
        <w:t>系统上传版：投标人须将加盖公章的完整电子标书（含资格、技术、商务标书）扫描件上传至“中国重汽e采通”平台。</w:t>
      </w:r>
      <w:r>
        <w:rPr>
          <w:rFonts w:hint="eastAsia" w:ascii="宋体" w:hAnsi="宋体" w:eastAsia="宋体" w:cs="宋体"/>
          <w:b w:val="0"/>
          <w:bCs w:val="0"/>
          <w:color w:val="auto"/>
          <w:sz w:val="21"/>
          <w:szCs w:val="21"/>
          <w:highlight w:val="none"/>
          <w:lang w:val="en-US" w:eastAsia="zh-CN"/>
        </w:rPr>
        <w:t>若</w:t>
      </w:r>
      <w:r>
        <w:rPr>
          <w:rFonts w:hint="eastAsia" w:ascii="宋体" w:hAnsi="宋体" w:eastAsia="宋体" w:cs="宋体"/>
          <w:b w:val="0"/>
          <w:bCs w:val="0"/>
          <w:i w:val="0"/>
          <w:iCs w:val="0"/>
          <w:caps w:val="0"/>
          <w:color w:val="0F1115"/>
          <w:spacing w:val="0"/>
          <w:sz w:val="21"/>
          <w:szCs w:val="21"/>
          <w:shd w:val="clear" w:fill="FFFFFF"/>
          <w:lang w:val="en-US" w:eastAsia="zh-CN"/>
        </w:rPr>
        <w:t>纸质版与电子版内容不一致，以系统上传的电子版为准。</w:t>
      </w:r>
    </w:p>
    <w:p w14:paraId="07B5D865">
      <w:pPr>
        <w:pStyle w:val="27"/>
        <w:keepNext w:val="0"/>
        <w:keepLines w:val="0"/>
        <w:pageBreakBefore w:val="0"/>
        <w:widowControl w:val="0"/>
        <w:numPr>
          <w:ilvl w:val="1"/>
          <w:numId w:val="0"/>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ascii="黑体" w:hAnsi="黑体" w:eastAsia="黑体" w:cs="黑体"/>
          <w:b w:val="0"/>
          <w:bCs/>
          <w:sz w:val="21"/>
          <w:szCs w:val="21"/>
          <w:highlight w:val="none"/>
          <w:lang w:val="en-US" w:eastAsia="zh-CN"/>
        </w:rPr>
      </w:pPr>
      <w:r>
        <w:rPr>
          <w:rFonts w:hint="eastAsia" w:hAnsi="黑体" w:cs="黑体"/>
          <w:b w:val="0"/>
          <w:bCs w:val="0"/>
          <w:kern w:val="2"/>
          <w:sz w:val="21"/>
          <w:szCs w:val="21"/>
          <w:lang w:val="en-US" w:eastAsia="zh-CN" w:bidi="ar-SA"/>
        </w:rPr>
        <w:t>2.4</w:t>
      </w:r>
      <w:r>
        <w:rPr>
          <w:rFonts w:hint="eastAsia" w:ascii="黑体" w:hAnsi="黑体" w:eastAsia="黑体" w:cs="黑体"/>
          <w:b w:val="0"/>
          <w:bCs/>
          <w:sz w:val="21"/>
          <w:szCs w:val="21"/>
          <w:highlight w:val="none"/>
          <w:lang w:val="en-US" w:eastAsia="zh-CN"/>
        </w:rPr>
        <w:t>封装要求</w:t>
      </w:r>
    </w:p>
    <w:p w14:paraId="10BC2E68">
      <w:pPr>
        <w:pStyle w:val="27"/>
        <w:keepNext w:val="0"/>
        <w:keepLines w:val="0"/>
        <w:pageBreakBefore w:val="0"/>
        <w:widowControl w:val="0"/>
        <w:numPr>
          <w:ilvl w:val="2"/>
          <w:numId w:val="0"/>
        </w:numPr>
        <w:kinsoku/>
        <w:wordWrap/>
        <w:overflowPunct/>
        <w:topLinePunct w:val="0"/>
        <w:autoSpaceDE/>
        <w:autoSpaceDN/>
        <w:bidi w:val="0"/>
        <w:adjustRightInd/>
        <w:snapToGrid/>
        <w:spacing w:before="79" w:beforeLines="25" w:line="440" w:lineRule="exact"/>
        <w:ind w:left="420" w:leftChars="0" w:hanging="420" w:hangingChars="200"/>
        <w:textAlignment w:val="auto"/>
        <w:outlineLvl w:val="9"/>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kern w:val="2"/>
          <w:sz w:val="21"/>
          <w:szCs w:val="21"/>
          <w:shd w:val="clear" w:fill="FFFFFF"/>
          <w:lang w:val="en-US" w:eastAsia="zh-CN" w:bidi="ar-SA"/>
        </w:rPr>
        <w:t>2.4</w:t>
      </w:r>
      <w:r>
        <w:rPr>
          <w:rFonts w:hint="default" w:ascii="宋体" w:hAnsi="宋体" w:eastAsia="宋体" w:cs="宋体"/>
          <w:b w:val="0"/>
          <w:bCs w:val="0"/>
          <w:i w:val="0"/>
          <w:iCs w:val="0"/>
          <w:caps w:val="0"/>
          <w:color w:val="0F1115"/>
          <w:spacing w:val="0"/>
          <w:kern w:val="2"/>
          <w:sz w:val="21"/>
          <w:szCs w:val="21"/>
          <w:shd w:val="clear" w:fill="FFFFFF"/>
          <w:lang w:val="en-US" w:eastAsia="zh-CN" w:bidi="ar-SA"/>
        </w:rPr>
        <w:t>.1.</w:t>
      </w:r>
      <w:r>
        <w:rPr>
          <w:rFonts w:hint="eastAsia" w:ascii="宋体" w:hAnsi="宋体" w:eastAsia="宋体" w:cs="宋体"/>
          <w:b w:val="0"/>
          <w:bCs w:val="0"/>
          <w:i w:val="0"/>
          <w:iCs w:val="0"/>
          <w:caps w:val="0"/>
          <w:color w:val="0F1115"/>
          <w:spacing w:val="0"/>
          <w:sz w:val="21"/>
          <w:szCs w:val="21"/>
          <w:shd w:val="clear" w:fill="FFFFFF"/>
          <w:lang w:val="en-US" w:eastAsia="zh-CN"/>
        </w:rPr>
        <w:t>U盘须单独密封于一个袋内；</w:t>
      </w:r>
    </w:p>
    <w:p w14:paraId="195755B8">
      <w:pPr>
        <w:pStyle w:val="27"/>
        <w:keepNext w:val="0"/>
        <w:keepLines w:val="0"/>
        <w:pageBreakBefore w:val="0"/>
        <w:widowControl w:val="0"/>
        <w:numPr>
          <w:ilvl w:val="2"/>
          <w:numId w:val="0"/>
        </w:numPr>
        <w:kinsoku/>
        <w:wordWrap/>
        <w:overflowPunct/>
        <w:topLinePunct w:val="0"/>
        <w:autoSpaceDE/>
        <w:autoSpaceDN/>
        <w:bidi w:val="0"/>
        <w:adjustRightInd/>
        <w:snapToGrid/>
        <w:spacing w:before="79" w:beforeLines="25" w:line="440" w:lineRule="exact"/>
        <w:ind w:left="420" w:leftChars="0" w:hanging="420" w:hangingChars="200"/>
        <w:textAlignment w:val="auto"/>
        <w:outlineLvl w:val="9"/>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kern w:val="2"/>
          <w:sz w:val="21"/>
          <w:szCs w:val="21"/>
          <w:shd w:val="clear" w:fill="FFFFFF"/>
          <w:lang w:val="en-US" w:eastAsia="zh-CN" w:bidi="ar-SA"/>
        </w:rPr>
        <w:t>2.4</w:t>
      </w:r>
      <w:r>
        <w:rPr>
          <w:rFonts w:hint="default" w:ascii="宋体" w:hAnsi="宋体" w:eastAsia="宋体" w:cs="宋体"/>
          <w:b w:val="0"/>
          <w:bCs w:val="0"/>
          <w:i w:val="0"/>
          <w:iCs w:val="0"/>
          <w:caps w:val="0"/>
          <w:color w:val="0F1115"/>
          <w:spacing w:val="0"/>
          <w:kern w:val="2"/>
          <w:sz w:val="21"/>
          <w:szCs w:val="21"/>
          <w:shd w:val="clear" w:fill="FFFFFF"/>
          <w:lang w:val="en-US" w:eastAsia="zh-CN" w:bidi="ar-SA"/>
        </w:rPr>
        <w:t>.2.</w:t>
      </w:r>
      <w:r>
        <w:rPr>
          <w:rFonts w:hint="eastAsia" w:ascii="宋体" w:hAnsi="宋体" w:eastAsia="宋体" w:cs="宋体"/>
          <w:b w:val="0"/>
          <w:bCs w:val="0"/>
          <w:i w:val="0"/>
          <w:iCs w:val="0"/>
          <w:caps w:val="0"/>
          <w:color w:val="0F1115"/>
          <w:spacing w:val="0"/>
          <w:sz w:val="21"/>
          <w:szCs w:val="21"/>
          <w:shd w:val="clear" w:fill="FFFFFF"/>
          <w:lang w:val="en-US" w:eastAsia="zh-CN"/>
        </w:rPr>
        <w:t>资质、技术与商务投标书应分别单独包封。即：所有资质投标书（正副本）封装为一包，所有技术投标书（正副本）封装为一包，所有商务投标书（正副本）封装为一包，共三个包封；</w:t>
      </w:r>
    </w:p>
    <w:p w14:paraId="2915601F">
      <w:pPr>
        <w:pStyle w:val="27"/>
        <w:keepNext w:val="0"/>
        <w:keepLines w:val="0"/>
        <w:pageBreakBefore w:val="0"/>
        <w:widowControl w:val="0"/>
        <w:numPr>
          <w:ilvl w:val="2"/>
          <w:numId w:val="0"/>
        </w:numPr>
        <w:kinsoku/>
        <w:wordWrap/>
        <w:overflowPunct/>
        <w:topLinePunct w:val="0"/>
        <w:autoSpaceDE/>
        <w:autoSpaceDN/>
        <w:bidi w:val="0"/>
        <w:adjustRightInd/>
        <w:snapToGrid/>
        <w:spacing w:before="79" w:beforeLines="25" w:line="440" w:lineRule="exact"/>
        <w:ind w:left="420" w:leftChars="0" w:hanging="420" w:hangingChars="200"/>
        <w:textAlignment w:val="auto"/>
        <w:outlineLvl w:val="9"/>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kern w:val="2"/>
          <w:sz w:val="21"/>
          <w:szCs w:val="21"/>
          <w:shd w:val="clear" w:fill="FFFFFF"/>
          <w:lang w:val="en-US" w:eastAsia="zh-CN" w:bidi="ar-SA"/>
        </w:rPr>
        <w:t>2.4</w:t>
      </w:r>
      <w:r>
        <w:rPr>
          <w:rFonts w:hint="default" w:ascii="宋体" w:hAnsi="宋体" w:eastAsia="宋体" w:cs="宋体"/>
          <w:b w:val="0"/>
          <w:bCs w:val="0"/>
          <w:i w:val="0"/>
          <w:iCs w:val="0"/>
          <w:caps w:val="0"/>
          <w:color w:val="0F1115"/>
          <w:spacing w:val="0"/>
          <w:kern w:val="2"/>
          <w:sz w:val="21"/>
          <w:szCs w:val="21"/>
          <w:shd w:val="clear" w:fill="FFFFFF"/>
          <w:lang w:val="en-US" w:eastAsia="zh-CN" w:bidi="ar-SA"/>
        </w:rPr>
        <w:t>3.</w:t>
      </w:r>
      <w:r>
        <w:rPr>
          <w:rFonts w:hint="eastAsia" w:ascii="宋体" w:hAnsi="宋体" w:eastAsia="宋体" w:cs="宋体"/>
          <w:b w:val="0"/>
          <w:bCs w:val="0"/>
          <w:i w:val="0"/>
          <w:iCs w:val="0"/>
          <w:caps w:val="0"/>
          <w:color w:val="0F1115"/>
          <w:spacing w:val="0"/>
          <w:sz w:val="21"/>
          <w:szCs w:val="21"/>
          <w:shd w:val="clear" w:fill="FFFFFF"/>
          <w:lang w:val="en-US" w:eastAsia="zh-CN"/>
        </w:rPr>
        <w:t>开标一览表须单独密封于一个袋内。</w:t>
      </w:r>
    </w:p>
    <w:p w14:paraId="5DF4D985">
      <w:pPr>
        <w:pStyle w:val="2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sz w:val="24"/>
          <w:szCs w:val="24"/>
          <w:lang w:val="en-US" w:eastAsia="zh-CN"/>
        </w:rPr>
      </w:pPr>
      <w:r>
        <w:rPr>
          <w:rFonts w:hint="eastAsia" w:hAnsi="黑体" w:cs="黑体"/>
          <w:b w:val="0"/>
          <w:bCs/>
          <w:kern w:val="2"/>
          <w:sz w:val="24"/>
          <w:szCs w:val="24"/>
          <w:lang w:val="en-US" w:eastAsia="zh-CN" w:bidi="ar-SA"/>
        </w:rPr>
        <w:t>3.</w:t>
      </w:r>
      <w:r>
        <w:rPr>
          <w:rFonts w:hint="eastAsia" w:ascii="黑体" w:hAnsi="黑体" w:eastAsia="黑体" w:cs="黑体"/>
          <w:b w:val="0"/>
          <w:sz w:val="24"/>
          <w:szCs w:val="24"/>
          <w:lang w:val="en-US" w:eastAsia="zh-CN"/>
        </w:rPr>
        <w:t>投标文件的投递</w:t>
      </w:r>
    </w:p>
    <w:p w14:paraId="384251F5">
      <w:pPr>
        <w:pStyle w:val="28"/>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0" w:firstLineChars="0"/>
        <w:textAlignment w:val="auto"/>
        <w:outlineLvl w:val="3"/>
        <w:rPr>
          <w:rFonts w:hint="default" w:ascii="Times New Roman" w:hAnsi="Times New Roman" w:cs="Times New Roman"/>
          <w:color w:val="auto"/>
          <w:lang w:val="en-US" w:eastAsia="zh-CN"/>
        </w:rPr>
      </w:pPr>
      <w:r>
        <w:rPr>
          <w:rFonts w:hint="eastAsia" w:ascii="Times New Roman" w:hAnsi="Times New Roman" w:cs="Times New Roman"/>
          <w:b w:val="0"/>
          <w:bCs w:val="0"/>
          <w:color w:val="auto"/>
          <w:kern w:val="2"/>
          <w:sz w:val="21"/>
          <w:szCs w:val="20"/>
          <w:lang w:val="en-US" w:eastAsia="zh-CN" w:bidi="ar-SA"/>
        </w:rPr>
        <w:t>3.1.</w:t>
      </w:r>
      <w:r>
        <w:rPr>
          <w:rFonts w:hint="eastAsia" w:ascii="Times New Roman" w:hAnsi="Times New Roman" w:cs="Times New Roman"/>
          <w:color w:val="auto"/>
          <w:lang w:val="en-US" w:eastAsia="zh-CN"/>
        </w:rPr>
        <w:t>投标方式</w:t>
      </w:r>
    </w:p>
    <w:p w14:paraId="4A90B28C">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在中国重汽e采通平台应标成功后，进入“供应商投标”环节：</w:t>
      </w:r>
    </w:p>
    <w:p w14:paraId="6EF03012">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rPr>
          <w:rFonts w:hint="eastAsia" w:ascii="Times New Roman" w:hAnsi="Times New Roman" w:cs="Times New Roman"/>
          <w:b/>
          <w:bCs/>
          <w:color w:val="auto"/>
          <w:lang w:val="en-US" w:eastAsia="zh-CN"/>
        </w:rPr>
      </w:pPr>
      <w:r>
        <w:rPr>
          <w:rFonts w:hint="eastAsia" w:ascii="Times New Roman" w:hAnsi="Times New Roman" w:cs="Times New Roman"/>
          <w:color w:val="auto"/>
          <w:lang w:val="en-US" w:eastAsia="zh-CN"/>
        </w:rPr>
        <w:t>投递盖章扫描版电子标书（包含资质标书、</w:t>
      </w:r>
      <w:r>
        <w:rPr>
          <w:rFonts w:hint="eastAsia" w:ascii="Times New Roman" w:hAnsi="Times New Roman" w:cs="Times New Roman"/>
          <w:color w:val="auto"/>
          <w:highlight w:val="none"/>
          <w:lang w:val="en-US" w:eastAsia="zh-CN"/>
        </w:rPr>
        <w:t>技术标书、</w:t>
      </w:r>
      <w:r>
        <w:rPr>
          <w:rFonts w:hint="eastAsia" w:ascii="Times New Roman" w:hAnsi="Times New Roman" w:cs="Times New Roman"/>
          <w:color w:val="auto"/>
          <w:lang w:val="en-US" w:eastAsia="zh-CN"/>
        </w:rPr>
        <w:t>商务标书）</w:t>
      </w:r>
      <w:r>
        <w:rPr>
          <w:rFonts w:hint="eastAsia" w:ascii="宋体" w:hAnsi="宋体" w:eastAsia="宋体" w:cs="宋体"/>
          <w:sz w:val="24"/>
          <w:szCs w:val="24"/>
        </w:rPr>
        <w:t>，</w:t>
      </w:r>
      <w:r>
        <w:rPr>
          <w:rFonts w:hint="eastAsia" w:ascii="Times New Roman" w:hAnsi="Times New Roman" w:cs="Times New Roman"/>
          <w:color w:val="auto"/>
          <w:lang w:val="en-US" w:eastAsia="zh-CN"/>
        </w:rPr>
        <w:t>用“公司名称+文件名称”命名。</w:t>
      </w:r>
      <w:r>
        <w:rPr>
          <w:rFonts w:hint="eastAsia" w:ascii="Times New Roman" w:hAnsi="Times New Roman" w:cs="Times New Roman"/>
          <w:b/>
          <w:bCs/>
          <w:color w:val="auto"/>
          <w:lang w:val="en-US" w:eastAsia="zh-CN"/>
        </w:rPr>
        <w:t>若逾期未在中国重汽e采通平台上传电子标书，即便递交了纸质版投标文件，一律视为无效投标。</w:t>
      </w:r>
    </w:p>
    <w:p w14:paraId="1C3D3132">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纸质版投标文件</w:t>
      </w:r>
      <w:r>
        <w:rPr>
          <w:rFonts w:hint="eastAsia" w:ascii="Times New Roman" w:hAnsi="Times New Roman" w:cs="Times New Roman"/>
          <w:b/>
          <w:bCs/>
          <w:color w:val="auto"/>
          <w:highlight w:val="none"/>
          <w:lang w:val="en-US" w:eastAsia="zh-CN"/>
        </w:rPr>
        <w:t>、U盘电子版、</w:t>
      </w:r>
      <w:r>
        <w:rPr>
          <w:rFonts w:ascii="宋体" w:hAnsi="宋体" w:eastAsia="宋体" w:cs="宋体"/>
          <w:b/>
          <w:bCs/>
          <w:sz w:val="21"/>
          <w:szCs w:val="21"/>
          <w:u w:val="single"/>
        </w:rPr>
        <w:t>营业执照原件、身份证原件、法人授权书原件、社保缴纳证明，以上证明材料都必须加盖公章</w:t>
      </w:r>
      <w:r>
        <w:rPr>
          <w:rFonts w:hint="eastAsia" w:ascii="宋体" w:hAnsi="宋体" w:eastAsia="宋体" w:cs="宋体"/>
          <w:b/>
          <w:bCs/>
          <w:sz w:val="21"/>
          <w:szCs w:val="21"/>
          <w:u w:val="single"/>
          <w:lang w:eastAsia="zh-CN"/>
        </w:rPr>
        <w:t>，</w:t>
      </w:r>
      <w:r>
        <w:rPr>
          <w:rFonts w:hint="eastAsia" w:ascii="Times New Roman" w:hAnsi="Times New Roman" w:cs="Times New Roman"/>
          <w:b/>
          <w:bCs/>
          <w:color w:val="auto"/>
          <w:highlight w:val="none"/>
          <w:lang w:val="en-US" w:eastAsia="zh-CN"/>
        </w:rPr>
        <w:t>由投标人自行带到开标现场，在开标时当场交予招标负责人。</w:t>
      </w:r>
    </w:p>
    <w:p w14:paraId="4AAA3F9B">
      <w:pPr>
        <w:pStyle w:val="28"/>
        <w:keepNext w:val="0"/>
        <w:keepLines w:val="0"/>
        <w:pageBreakBefore w:val="0"/>
        <w:widowControl w:val="0"/>
        <w:numPr>
          <w:ilvl w:val="1"/>
          <w:numId w:val="0"/>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lang w:val="en-US" w:eastAsia="zh-CN"/>
        </w:rPr>
      </w:pPr>
      <w:r>
        <w:rPr>
          <w:rFonts w:hint="eastAsia" w:cstheme="minorBidi"/>
          <w:b w:val="0"/>
          <w:bCs w:val="0"/>
          <w:kern w:val="2"/>
          <w:sz w:val="21"/>
          <w:szCs w:val="20"/>
          <w:lang w:val="en-US" w:eastAsia="zh-CN" w:bidi="ar-SA"/>
        </w:rPr>
        <w:t>3</w:t>
      </w:r>
      <w:r>
        <w:rPr>
          <w:rFonts w:hint="default" w:ascii="宋体" w:hAnsi="Courier New" w:eastAsia="宋体" w:cstheme="minorBidi"/>
          <w:b w:val="0"/>
          <w:bCs w:val="0"/>
          <w:kern w:val="2"/>
          <w:sz w:val="21"/>
          <w:szCs w:val="20"/>
          <w:lang w:val="en-US" w:eastAsia="zh-CN" w:bidi="ar-SA"/>
        </w:rPr>
        <w:t>.2.</w:t>
      </w:r>
      <w:r>
        <w:rPr>
          <w:rFonts w:hint="eastAsia"/>
          <w:lang w:val="en-US" w:eastAsia="zh-CN"/>
        </w:rPr>
        <w:t>投标文件</w:t>
      </w:r>
      <w:r>
        <w:rPr>
          <w:rFonts w:hint="eastAsia" w:ascii="宋体" w:hAnsi="Courier New" w:eastAsia="宋体" w:cs="Times New Roman"/>
          <w:highlight w:val="none"/>
          <w:lang w:val="en-US" w:eastAsia="zh-CN"/>
        </w:rPr>
        <w:t>递交</w:t>
      </w:r>
      <w:r>
        <w:rPr>
          <w:rFonts w:hint="eastAsia"/>
          <w:lang w:val="en-US" w:eastAsia="zh-CN"/>
        </w:rPr>
        <w:t>截止时间：</w:t>
      </w:r>
      <w:r>
        <w:rPr>
          <w:rFonts w:hint="eastAsia"/>
          <w:u w:val="single"/>
          <w:lang w:val="en-US" w:eastAsia="zh-CN"/>
        </w:rPr>
        <w:t>202</w:t>
      </w:r>
      <w:r>
        <w:rPr>
          <w:rFonts w:hint="eastAsia"/>
          <w:highlight w:val="none"/>
          <w:u w:val="single"/>
          <w:lang w:val="en-US" w:eastAsia="zh-CN"/>
        </w:rPr>
        <w:t>6年10月25日17:</w:t>
      </w:r>
      <w:r>
        <w:rPr>
          <w:rFonts w:hint="eastAsia"/>
          <w:u w:val="single"/>
          <w:lang w:val="en-US" w:eastAsia="zh-CN"/>
        </w:rPr>
        <w:t>00:00</w:t>
      </w:r>
    </w:p>
    <w:p w14:paraId="25974AAC">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Chars="0"/>
        <w:textAlignment w:val="auto"/>
        <w:rPr>
          <w:rFonts w:hint="eastAsia" w:hAnsi="Courier New" w:cs="Times New Roman"/>
          <w:highlight w:val="none"/>
        </w:rPr>
      </w:pPr>
      <w:bookmarkStart w:id="1" w:name="_Toc47976601"/>
      <w:r>
        <w:rPr>
          <w:rFonts w:hint="eastAsia" w:cs="Times New Roman"/>
          <w:highlight w:val="none"/>
          <w:lang w:val="en-US" w:eastAsia="zh-CN"/>
        </w:rPr>
        <w:t>五、</w:t>
      </w:r>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27"/>
        <w:keepNext w:val="0"/>
        <w:keepLines w:val="0"/>
        <w:pageBreakBefore w:val="0"/>
        <w:widowControl w:val="0"/>
        <w:numPr>
          <w:ilvl w:val="0"/>
          <w:numId w:val="8"/>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u w:val="single"/>
          <w:lang w:val="en-US" w:eastAsia="zh-CN"/>
        </w:rPr>
      </w:pPr>
      <w:r>
        <w:rPr>
          <w:rFonts w:hint="eastAsia" w:ascii="黑体" w:hAnsi="黑体" w:eastAsia="黑体" w:cs="黑体"/>
          <w:b w:val="0"/>
          <w:bCs w:val="0"/>
          <w:sz w:val="24"/>
          <w:szCs w:val="24"/>
          <w:highlight w:val="none"/>
        </w:rPr>
        <w:t>投标保证金的缴纳</w:t>
      </w:r>
    </w:p>
    <w:p w14:paraId="021ADBC0">
      <w:pPr>
        <w:pStyle w:val="28"/>
        <w:keepNext w:val="0"/>
        <w:keepLines w:val="0"/>
        <w:pageBreakBefore w:val="0"/>
        <w:widowControl w:val="0"/>
        <w:numPr>
          <w:ilvl w:val="1"/>
          <w:numId w:val="9"/>
        </w:numPr>
        <w:kinsoku/>
        <w:wordWrap/>
        <w:overflowPunct/>
        <w:topLinePunct w:val="0"/>
        <w:autoSpaceDE/>
        <w:autoSpaceDN/>
        <w:bidi w:val="0"/>
        <w:adjustRightInd/>
        <w:snapToGrid/>
        <w:spacing w:line="440" w:lineRule="exact"/>
        <w:ind w:left="0" w:leftChars="0" w:firstLine="0" w:firstLineChars="0"/>
        <w:textAlignment w:val="auto"/>
        <w:outlineLvl w:val="3"/>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7767E796">
      <w:pPr>
        <w:pStyle w:val="28"/>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25AC0430">
      <w:pPr>
        <w:pStyle w:val="28"/>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r>
        <w:rPr>
          <w:rFonts w:hint="eastAsia" w:hAnsi="宋体" w:cs="宋体"/>
          <w:b w:val="0"/>
          <w:bCs w:val="0"/>
          <w:sz w:val="21"/>
          <w:szCs w:val="21"/>
          <w:highlight w:val="none"/>
          <w:lang w:eastAsia="zh-CN"/>
        </w:rPr>
        <w:t>。</w:t>
      </w:r>
    </w:p>
    <w:p w14:paraId="04CD311F">
      <w:pPr>
        <w:pStyle w:val="28"/>
        <w:keepNext w:val="0"/>
        <w:keepLines w:val="0"/>
        <w:pageBreakBefore w:val="0"/>
        <w:widowControl w:val="0"/>
        <w:numPr>
          <w:ilvl w:val="1"/>
          <w:numId w:val="9"/>
        </w:numPr>
        <w:kinsoku/>
        <w:wordWrap/>
        <w:overflowPunct/>
        <w:topLinePunct w:val="0"/>
        <w:autoSpaceDE/>
        <w:autoSpaceDN/>
        <w:bidi w:val="0"/>
        <w:adjustRightInd/>
        <w:snapToGrid/>
        <w:spacing w:line="440" w:lineRule="exact"/>
        <w:ind w:left="0" w:leftChars="0" w:firstLine="0" w:firstLineChars="0"/>
        <w:textAlignment w:val="auto"/>
        <w:outlineLvl w:val="3"/>
        <w:rPr>
          <w:rFonts w:hint="default"/>
          <w:highlight w:val="none"/>
          <w:lang w:val="en-US" w:eastAsia="zh-CN"/>
        </w:rPr>
      </w:pPr>
      <w:r>
        <w:rPr>
          <w:rFonts w:hint="eastAsia"/>
          <w:highlight w:val="none"/>
        </w:rPr>
        <w:t>投标保证金的金额：人民币</w:t>
      </w:r>
      <w:r>
        <w:rPr>
          <w:rFonts w:hint="eastAsia"/>
          <w:highlight w:val="none"/>
          <w:lang w:val="en-US" w:eastAsia="zh-CN"/>
        </w:rPr>
        <w:t>5000</w:t>
      </w:r>
      <w:r>
        <w:rPr>
          <w:rFonts w:hint="eastAsia"/>
          <w:highlight w:val="none"/>
        </w:rPr>
        <w:t>元</w:t>
      </w:r>
    </w:p>
    <w:p w14:paraId="45E56B3E">
      <w:pPr>
        <w:pStyle w:val="28"/>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eastAsia="宋体" w:cs="Times New Roman"/>
          <w:highlight w:val="none"/>
          <w:lang w:val="en-US" w:eastAsia="zh-CN"/>
        </w:rPr>
      </w:pPr>
      <w:r>
        <w:rPr>
          <w:rFonts w:hint="eastAsia" w:cs="Times New Roman"/>
          <w:highlight w:val="none"/>
        </w:rPr>
        <w:t>单位名称：</w:t>
      </w:r>
      <w:r>
        <w:rPr>
          <w:rFonts w:hint="eastAsia" w:cs="Times New Roman"/>
          <w:highlight w:val="none"/>
          <w:lang w:eastAsia="zh-CN"/>
        </w:rPr>
        <w:t>中国重汽集团济南动力有限公司</w:t>
      </w:r>
    </w:p>
    <w:p w14:paraId="4ED57A68">
      <w:pPr>
        <w:pStyle w:val="28"/>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cs="Times New Roman"/>
          <w:highlight w:val="none"/>
        </w:rPr>
      </w:pPr>
      <w:r>
        <w:rPr>
          <w:rFonts w:hint="eastAsia" w:cs="Times New Roman"/>
          <w:highlight w:val="none"/>
        </w:rPr>
        <w:t>收款账号：37001616508050150300</w:t>
      </w:r>
    </w:p>
    <w:p w14:paraId="3B3FF89A">
      <w:pPr>
        <w:pStyle w:val="28"/>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cs="Times New Roman"/>
          <w:highlight w:val="none"/>
        </w:rPr>
      </w:pPr>
      <w:r>
        <w:rPr>
          <w:rFonts w:hint="eastAsia" w:cs="Times New Roman"/>
          <w:highlight w:val="none"/>
        </w:rPr>
        <w:t>开户行名称：中国建设银行股份有限公司济南天桥支行</w:t>
      </w:r>
    </w:p>
    <w:p w14:paraId="3565EE07">
      <w:pPr>
        <w:pStyle w:val="28"/>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cs="Times New Roman"/>
          <w:highlight w:val="none"/>
          <w:lang w:val="en-US" w:eastAsia="zh-CN"/>
        </w:rPr>
      </w:pPr>
      <w:r>
        <w:rPr>
          <w:rFonts w:hint="eastAsia" w:cs="Times New Roman"/>
          <w:highlight w:val="none"/>
        </w:rPr>
        <w:t>开户行行号：105451000362</w:t>
      </w:r>
    </w:p>
    <w:p w14:paraId="1591D62C">
      <w:pPr>
        <w:pStyle w:val="28"/>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22" w:firstLineChars="200"/>
        <w:textAlignment w:val="auto"/>
        <w:rPr>
          <w:rFonts w:hint="eastAsia"/>
          <w:b/>
          <w:bCs/>
          <w:lang w:val="en-US" w:eastAsia="zh-CN"/>
        </w:rPr>
      </w:pPr>
      <w:r>
        <w:rPr>
          <w:rFonts w:hint="eastAsia"/>
          <w:b/>
          <w:bCs/>
          <w:lang w:val="en-US" w:eastAsia="zh-CN"/>
        </w:rPr>
        <w:t>转账附言：公司名称+项目名称+投标保证金。</w:t>
      </w:r>
    </w:p>
    <w:p w14:paraId="5568414C">
      <w:pPr>
        <w:pStyle w:val="28"/>
        <w:keepNext w:val="0"/>
        <w:keepLines w:val="0"/>
        <w:pageBreakBefore w:val="0"/>
        <w:widowControl w:val="0"/>
        <w:numPr>
          <w:ilvl w:val="1"/>
          <w:numId w:val="9"/>
        </w:numPr>
        <w:kinsoku/>
        <w:wordWrap/>
        <w:overflowPunct/>
        <w:topLinePunct w:val="0"/>
        <w:autoSpaceDE/>
        <w:autoSpaceDN/>
        <w:bidi w:val="0"/>
        <w:adjustRightInd/>
        <w:snapToGrid/>
        <w:spacing w:line="440" w:lineRule="exact"/>
        <w:ind w:left="0" w:leftChars="0" w:firstLine="0" w:firstLineChars="0"/>
        <w:textAlignment w:val="auto"/>
        <w:outlineLvl w:val="3"/>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保证金缴纳</w:t>
      </w:r>
      <w:r>
        <w:rPr>
          <w:rFonts w:hint="eastAsia" w:cs="Times New Roman"/>
        </w:rPr>
        <w:t>截止</w:t>
      </w:r>
      <w:r>
        <w:rPr>
          <w:rFonts w:hint="eastAsia" w:ascii="宋体" w:hAnsi="宋体" w:eastAsia="宋体" w:cs="宋体"/>
          <w:b w:val="0"/>
          <w:bCs w:val="0"/>
          <w:sz w:val="21"/>
          <w:szCs w:val="21"/>
          <w:highlight w:val="none"/>
        </w:rPr>
        <w:t>时间：202</w:t>
      </w:r>
      <w:r>
        <w:rPr>
          <w:rFonts w:hint="eastAsia" w:hAnsi="宋体" w:cs="宋体"/>
          <w:b w:val="0"/>
          <w:bCs w:val="0"/>
          <w:sz w:val="21"/>
          <w:szCs w:val="21"/>
          <w:highlight w:val="none"/>
          <w:lang w:val="en-US" w:eastAsia="zh-CN"/>
        </w:rPr>
        <w:t>6</w:t>
      </w:r>
      <w:r>
        <w:rPr>
          <w:rFonts w:hint="eastAsia" w:ascii="宋体" w:hAnsi="宋体" w:eastAsia="宋体" w:cs="宋体"/>
          <w:b w:val="0"/>
          <w:bCs w:val="0"/>
          <w:sz w:val="21"/>
          <w:szCs w:val="21"/>
          <w:highlight w:val="none"/>
        </w:rPr>
        <w:t>年</w:t>
      </w:r>
      <w:r>
        <w:rPr>
          <w:rFonts w:hint="eastAsia" w:hAnsi="宋体" w:cs="宋体"/>
          <w:b w:val="0"/>
          <w:bCs w:val="0"/>
          <w:sz w:val="21"/>
          <w:szCs w:val="21"/>
          <w:highlight w:val="none"/>
          <w:lang w:val="en-US" w:eastAsia="zh-CN"/>
        </w:rPr>
        <w:t>10月25</w:t>
      </w:r>
      <w:r>
        <w:rPr>
          <w:rFonts w:hint="eastAsia" w:ascii="宋体" w:hAnsi="宋体" w:eastAsia="宋体" w:cs="宋体"/>
          <w:b w:val="0"/>
          <w:bCs w:val="0"/>
          <w:sz w:val="21"/>
          <w:szCs w:val="21"/>
          <w:highlight w:val="none"/>
        </w:rPr>
        <w:t>日</w:t>
      </w:r>
      <w:r>
        <w:rPr>
          <w:rFonts w:hint="eastAsia" w:hAnsi="宋体" w:cs="宋体"/>
          <w:b w:val="0"/>
          <w:bCs w:val="0"/>
          <w:sz w:val="21"/>
          <w:szCs w:val="21"/>
          <w:highlight w:val="none"/>
          <w:lang w:val="en-US" w:eastAsia="zh-CN"/>
        </w:rPr>
        <w:t>17</w:t>
      </w:r>
      <w:r>
        <w:rPr>
          <w:rFonts w:hint="eastAsia"/>
          <w:highlight w:val="none"/>
          <w:u w:val="none"/>
          <w:lang w:val="en-US" w:eastAsia="zh-CN"/>
        </w:rPr>
        <w:t>:00:00</w:t>
      </w:r>
    </w:p>
    <w:p w14:paraId="02113B20">
      <w:pPr>
        <w:pStyle w:val="27"/>
        <w:keepNext w:val="0"/>
        <w:keepLines w:val="0"/>
        <w:pageBreakBefore w:val="0"/>
        <w:widowControl w:val="0"/>
        <w:numPr>
          <w:ilvl w:val="0"/>
          <w:numId w:val="8"/>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rPr>
        <w:t>对于没有中标的</w:t>
      </w:r>
      <w:r>
        <w:rPr>
          <w:rFonts w:hint="eastAsia" w:ascii="黑体" w:hAnsi="黑体" w:eastAsia="黑体" w:cs="黑体"/>
          <w:b w:val="0"/>
          <w:bCs w:val="0"/>
          <w:sz w:val="24"/>
          <w:szCs w:val="24"/>
          <w:highlight w:val="none"/>
          <w:lang w:eastAsia="zh-CN"/>
        </w:rPr>
        <w:t>投标人</w:t>
      </w:r>
      <w:r>
        <w:rPr>
          <w:rFonts w:hint="eastAsia" w:ascii="黑体" w:hAnsi="黑体" w:eastAsia="黑体" w:cs="黑体"/>
          <w:b w:val="0"/>
          <w:bCs w:val="0"/>
          <w:sz w:val="24"/>
          <w:szCs w:val="24"/>
          <w:highlight w:val="none"/>
        </w:rPr>
        <w:t>，投标保证金将于招标人内部完成中标人评审并确认最终中标人后</w:t>
      </w:r>
      <w:r>
        <w:rPr>
          <w:rFonts w:hint="eastAsia" w:hAnsi="黑体" w:cs="黑体"/>
          <w:b w:val="0"/>
          <w:bCs w:val="0"/>
          <w:sz w:val="24"/>
          <w:szCs w:val="24"/>
          <w:highlight w:val="none"/>
          <w:u w:val="single"/>
          <w:lang w:val="en-US" w:eastAsia="zh-CN"/>
        </w:rPr>
        <w:t>一个付款周期</w:t>
      </w:r>
      <w:r>
        <w:rPr>
          <w:rFonts w:hint="eastAsia" w:ascii="黑体" w:hAnsi="黑体" w:eastAsia="黑体" w:cs="黑体"/>
          <w:b w:val="0"/>
          <w:bCs w:val="0"/>
          <w:sz w:val="24"/>
          <w:szCs w:val="24"/>
          <w:highlight w:val="none"/>
        </w:rPr>
        <w:t>予以原路返还（无息）；对于中标方，</w:t>
      </w:r>
      <w:r>
        <w:rPr>
          <w:rFonts w:hint="eastAsia" w:hAnsi="黑体" w:cs="黑体"/>
          <w:b w:val="0"/>
          <w:bCs w:val="0"/>
          <w:sz w:val="24"/>
          <w:szCs w:val="24"/>
          <w:highlight w:val="none"/>
        </w:rPr>
        <w:t>投标保证金将转化为合同履约</w:t>
      </w:r>
      <w:r>
        <w:rPr>
          <w:rFonts w:hint="eastAsia" w:hAnsi="黑体" w:cs="黑体"/>
          <w:b w:val="0"/>
          <w:bCs w:val="0"/>
          <w:sz w:val="24"/>
          <w:szCs w:val="24"/>
          <w:highlight w:val="none"/>
          <w:lang w:val="en-US" w:eastAsia="zh-CN"/>
        </w:rPr>
        <w:t>保证金</w:t>
      </w:r>
      <w:r>
        <w:rPr>
          <w:rFonts w:hint="eastAsia" w:hAnsi="黑体" w:cs="黑体"/>
          <w:b w:val="0"/>
          <w:bCs w:val="0"/>
          <w:sz w:val="24"/>
          <w:szCs w:val="24"/>
          <w:highlight w:val="none"/>
        </w:rPr>
        <w:t>，在合同期满结束后，一个付款周期内予以原路返还（无息）</w:t>
      </w:r>
      <w:r>
        <w:rPr>
          <w:rFonts w:hint="eastAsia" w:hAnsi="黑体" w:cs="黑体"/>
          <w:b w:val="0"/>
          <w:bCs w:val="0"/>
          <w:sz w:val="24"/>
          <w:szCs w:val="24"/>
          <w:highlight w:val="none"/>
          <w:lang w:eastAsia="zh-CN"/>
        </w:rPr>
        <w:t>。</w:t>
      </w:r>
      <w:r>
        <w:rPr>
          <w:rFonts w:hint="eastAsia" w:ascii="黑体" w:hAnsi="黑体" w:eastAsia="黑体" w:cs="黑体"/>
          <w:b w:val="0"/>
          <w:bCs w:val="0"/>
          <w:sz w:val="24"/>
          <w:szCs w:val="24"/>
          <w:highlight w:val="none"/>
        </w:rPr>
        <w:t>发生</w:t>
      </w:r>
      <w:r>
        <w:rPr>
          <w:rFonts w:hint="eastAsia" w:ascii="黑体" w:hAnsi="黑体" w:eastAsia="黑体" w:cs="黑体"/>
          <w:b w:val="0"/>
          <w:bCs w:val="0"/>
          <w:sz w:val="24"/>
          <w:szCs w:val="24"/>
          <w:highlight w:val="none"/>
          <w:lang w:val="en-US" w:eastAsia="zh-CN"/>
        </w:rPr>
        <w:t>以下</w:t>
      </w:r>
      <w:r>
        <w:rPr>
          <w:rFonts w:hint="eastAsia" w:ascii="黑体" w:hAnsi="黑体" w:eastAsia="黑体" w:cs="黑体"/>
          <w:b w:val="0"/>
          <w:bCs w:val="0"/>
          <w:sz w:val="24"/>
          <w:szCs w:val="24"/>
          <w:highlight w:val="none"/>
        </w:rPr>
        <w:t>情况时，有权没收保证金：</w:t>
      </w:r>
    </w:p>
    <w:p w14:paraId="69D68B6B">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ascii="宋体" w:hAnsi="宋体" w:eastAsia="宋体" w:cs="宋体"/>
          <w:b w:val="0"/>
          <w:bCs w:val="0"/>
          <w:szCs w:val="21"/>
          <w:highlight w:val="none"/>
        </w:rPr>
        <w:t>供</w:t>
      </w:r>
      <w:r>
        <w:rPr>
          <w:rFonts w:hint="eastAsia"/>
        </w:rPr>
        <w:t>应商在提交响应文件截止时间后撤回响应文件的；</w:t>
      </w:r>
    </w:p>
    <w:p w14:paraId="56CEC558">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供应商在响应文件中提供虚假材料的；</w:t>
      </w:r>
    </w:p>
    <w:p w14:paraId="14DF0C78">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除因不可抗力或谈判文件、询价通知书认可的情形以外，成交供应商不与采购人签订合同的；</w:t>
      </w:r>
    </w:p>
    <w:p w14:paraId="1D9AD298">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供应商与采购人、其他供应商或者采购代理机构恶意串通、围标、陪标的；</w:t>
      </w:r>
    </w:p>
    <w:p w14:paraId="1211AC71">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供应商有违约违规行为或被投诉、举报的，在调查处理期间，保证金暂不退还，待调查处理结束后按有关规定处理。</w:t>
      </w:r>
    </w:p>
    <w:p w14:paraId="1C7FF7D7">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截至开标前3天，投标人无正当理由、未以书面形式向招标人递交说明而在投标截止日不来投标的。</w:t>
      </w:r>
    </w:p>
    <w:p w14:paraId="7A3035DA">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自中标通知书发出之日起30日内，中标人无正当理由投标人无正当签订合同的；</w:t>
      </w:r>
    </w:p>
    <w:p w14:paraId="4B399A58">
      <w:pPr>
        <w:pStyle w:val="28"/>
        <w:keepNext w:val="0"/>
        <w:keepLines w:val="0"/>
        <w:pageBreakBefore w:val="0"/>
        <w:widowControl w:val="0"/>
        <w:numPr>
          <w:ilvl w:val="1"/>
          <w:numId w:val="8"/>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r>
        <w:rPr>
          <w:rFonts w:hint="eastAsia"/>
        </w:rPr>
        <w:t>采购文件规定</w:t>
      </w:r>
      <w:r>
        <w:rPr>
          <w:rFonts w:hint="eastAsia" w:ascii="宋体" w:hAnsi="宋体" w:eastAsia="宋体" w:cs="宋体"/>
          <w:b w:val="0"/>
          <w:bCs w:val="0"/>
          <w:szCs w:val="21"/>
          <w:highlight w:val="none"/>
        </w:rPr>
        <w:t>的其他情形</w:t>
      </w:r>
      <w:r>
        <w:rPr>
          <w:rFonts w:hint="eastAsia" w:ascii="宋体" w:hAnsi="宋体" w:eastAsia="宋体" w:cs="宋体"/>
          <w:b w:val="0"/>
          <w:bCs w:val="0"/>
          <w:szCs w:val="21"/>
          <w:highlight w:val="none"/>
          <w:lang w:eastAsia="zh-CN"/>
        </w:rPr>
        <w:t>。</w:t>
      </w:r>
      <w:bookmarkEnd w:id="1"/>
    </w:p>
    <w:p w14:paraId="53341911">
      <w:pPr>
        <w:pStyle w:val="6"/>
        <w:rPr>
          <w:rFonts w:hint="eastAsia"/>
          <w:lang w:val="en-US" w:eastAsia="zh-CN"/>
        </w:rPr>
      </w:pPr>
    </w:p>
    <w:p w14:paraId="62A2DB8E">
      <w:pPr>
        <w:widowControl/>
        <w:spacing w:line="460" w:lineRule="exact"/>
        <w:ind w:firstLine="562" w:firstLineChars="200"/>
        <w:rPr>
          <w:rFonts w:hint="eastAsia" w:ascii="黑体" w:hAnsi="黑体" w:eastAsia="黑体" w:cs="黑体"/>
          <w:b/>
          <w:bCs/>
          <w:kern w:val="0"/>
          <w:sz w:val="28"/>
          <w:szCs w:val="28"/>
          <w:highlight w:val="none"/>
        </w:rPr>
      </w:pPr>
      <w:r>
        <w:rPr>
          <w:rFonts w:hint="eastAsia" w:ascii="黑体" w:hAnsi="黑体" w:eastAsia="黑体" w:cs="黑体"/>
          <w:b/>
          <w:bCs/>
          <w:kern w:val="0"/>
          <w:sz w:val="28"/>
          <w:szCs w:val="28"/>
          <w:highlight w:val="none"/>
          <w:lang w:val="en-US" w:eastAsia="zh-CN"/>
        </w:rPr>
        <w:t>六</w:t>
      </w:r>
      <w:r>
        <w:rPr>
          <w:rFonts w:hint="eastAsia" w:ascii="黑体" w:hAnsi="黑体" w:eastAsia="黑体" w:cs="黑体"/>
          <w:b/>
          <w:bCs/>
          <w:kern w:val="0"/>
          <w:sz w:val="28"/>
          <w:szCs w:val="28"/>
          <w:highlight w:val="none"/>
        </w:rPr>
        <w:t>、方案及要求</w:t>
      </w:r>
    </w:p>
    <w:p w14:paraId="4C8E2B32">
      <w:pPr>
        <w:widowControl/>
        <w:spacing w:line="46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1.方案要求</w:t>
      </w:r>
    </w:p>
    <w:p w14:paraId="4A99C42D">
      <w:pPr>
        <w:widowControl/>
        <w:spacing w:line="46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（1）公司简介</w:t>
      </w:r>
    </w:p>
    <w:p w14:paraId="0269853A">
      <w:pPr>
        <w:widowControl/>
        <w:spacing w:line="460" w:lineRule="exact"/>
        <w:ind w:firstLine="420" w:firstLineChars="200"/>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（2）</w:t>
      </w:r>
      <w:r>
        <w:rPr>
          <w:rFonts w:hint="eastAsia" w:ascii="宋体" w:hAnsi="宋体" w:eastAsia="宋体" w:cs="宋体"/>
          <w:kern w:val="0"/>
          <w:sz w:val="21"/>
          <w:szCs w:val="21"/>
          <w:highlight w:val="none"/>
          <w:lang w:val="en-US" w:eastAsia="zh-CN"/>
        </w:rPr>
        <w:t>提供服务的具体方案</w:t>
      </w:r>
    </w:p>
    <w:p w14:paraId="2E86931A">
      <w:pPr>
        <w:widowControl/>
        <w:spacing w:line="46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2.述标要求</w:t>
      </w:r>
    </w:p>
    <w:p w14:paraId="2EE8F9DD">
      <w:pPr>
        <w:widowControl/>
        <w:spacing w:line="46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投标人需派授权代表对本项目进行述标。述标时间不超过20分钟,答疑时间不超过20分钟。</w:t>
      </w:r>
    </w:p>
    <w:p w14:paraId="794B9434">
      <w:pPr>
        <w:widowControl/>
        <w:spacing w:line="460" w:lineRule="exact"/>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投标人应充分为本项目做好现场考核答疑准备。</w:t>
      </w:r>
    </w:p>
    <w:p w14:paraId="368B6990">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Chars="0" w:firstLine="562" w:firstLineChars="200"/>
        <w:textAlignment w:val="auto"/>
      </w:pPr>
      <w:r>
        <w:rPr>
          <w:rFonts w:hint="eastAsia"/>
          <w:lang w:val="en-US" w:eastAsia="zh-CN"/>
        </w:rPr>
        <w:t>七、开评标</w:t>
      </w:r>
    </w:p>
    <w:p w14:paraId="6D5294CB">
      <w:pPr>
        <w:pStyle w:val="2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0" w:leftChars="0" w:firstLine="240" w:firstLineChars="100"/>
        <w:textAlignment w:val="auto"/>
        <w:outlineLvl w:val="2"/>
        <w:rPr>
          <w:rFonts w:hint="eastAsia" w:ascii="黑体" w:hAnsi="黑体" w:eastAsia="黑体" w:cs="黑体"/>
          <w:b w:val="0"/>
          <w:bCs w:val="0"/>
          <w:sz w:val="24"/>
          <w:szCs w:val="24"/>
          <w:highlight w:val="none"/>
          <w:lang w:val="en-US" w:eastAsia="zh-CN"/>
        </w:rPr>
      </w:pPr>
      <w:r>
        <w:rPr>
          <w:rFonts w:hint="default" w:ascii="黑体" w:hAnsi="黑体" w:eastAsia="黑体" w:cs="黑体"/>
          <w:b w:val="0"/>
          <w:bCs w:val="0"/>
          <w:kern w:val="2"/>
          <w:sz w:val="24"/>
          <w:szCs w:val="24"/>
          <w:lang w:val="en-US" w:eastAsia="zh-CN" w:bidi="ar-SA"/>
        </w:rPr>
        <w:t>1.</w:t>
      </w:r>
      <w:r>
        <w:rPr>
          <w:rFonts w:hint="eastAsia" w:ascii="黑体" w:hAnsi="黑体" w:eastAsia="黑体" w:cs="黑体"/>
          <w:b w:val="0"/>
          <w:bCs w:val="0"/>
          <w:sz w:val="24"/>
          <w:szCs w:val="24"/>
          <w:highlight w:val="none"/>
          <w:lang w:val="en-US" w:eastAsia="zh-CN"/>
        </w:rPr>
        <w:t>开标时间和地点</w:t>
      </w:r>
    </w:p>
    <w:p w14:paraId="4FACE4AA">
      <w:pPr>
        <w:pStyle w:val="28"/>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210" w:firstLineChars="1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kern w:val="2"/>
          <w:sz w:val="21"/>
          <w:szCs w:val="21"/>
          <w:lang w:val="en-US" w:eastAsia="zh-CN" w:bidi="ar-SA"/>
        </w:rPr>
        <w:t>1.1.</w:t>
      </w:r>
      <w:r>
        <w:rPr>
          <w:rFonts w:hint="eastAsia" w:ascii="宋体" w:hAnsi="宋体" w:eastAsia="宋体" w:cs="宋体"/>
          <w:b w:val="0"/>
          <w:bCs w:val="0"/>
          <w:sz w:val="21"/>
          <w:szCs w:val="21"/>
          <w:highlight w:val="none"/>
          <w:lang w:val="en-US" w:eastAsia="zh-CN"/>
        </w:rPr>
        <w:t>开标时间：</w:t>
      </w:r>
      <w:r>
        <w:rPr>
          <w:rFonts w:hint="eastAsia" w:hAnsi="宋体" w:cs="宋体"/>
          <w:b w:val="0"/>
          <w:bCs w:val="0"/>
          <w:sz w:val="21"/>
          <w:szCs w:val="21"/>
          <w:highlight w:val="none"/>
          <w:lang w:val="en-US" w:eastAsia="zh-CN"/>
        </w:rPr>
        <w:t>2026年10月26</w:t>
      </w:r>
      <w:r>
        <w:rPr>
          <w:rFonts w:hint="eastAsia" w:ascii="宋体" w:hAnsi="宋体" w:eastAsia="宋体" w:cs="宋体"/>
          <w:b w:val="0"/>
          <w:bCs w:val="0"/>
          <w:sz w:val="21"/>
          <w:szCs w:val="21"/>
          <w:highlight w:val="none"/>
          <w:lang w:val="en-US" w:eastAsia="zh-CN"/>
        </w:rPr>
        <w:t>日</w:t>
      </w:r>
      <w:r>
        <w:rPr>
          <w:rFonts w:hint="eastAsia" w:hAnsi="宋体" w:cs="宋体"/>
          <w:b w:val="0"/>
          <w:bCs w:val="0"/>
          <w:sz w:val="21"/>
          <w:szCs w:val="21"/>
          <w:highlight w:val="none"/>
          <w:lang w:val="en-US" w:eastAsia="zh-CN"/>
        </w:rPr>
        <w:t>0</w:t>
      </w:r>
      <w:r>
        <w:rPr>
          <w:rFonts w:hint="default" w:ascii="宋体" w:hAnsi="宋体" w:eastAsia="宋体" w:cs="宋体"/>
          <w:b w:val="0"/>
          <w:bCs w:val="0"/>
          <w:sz w:val="21"/>
          <w:szCs w:val="21"/>
          <w:highlight w:val="none"/>
          <w:lang w:val="en-US" w:eastAsia="zh-CN"/>
        </w:rPr>
        <w:t>9:</w:t>
      </w:r>
      <w:r>
        <w:rPr>
          <w:rFonts w:hint="eastAsia" w:hAnsi="宋体" w:cs="宋体"/>
          <w:b w:val="0"/>
          <w:bCs w:val="0"/>
          <w:sz w:val="21"/>
          <w:szCs w:val="21"/>
          <w:highlight w:val="none"/>
          <w:lang w:val="en-US" w:eastAsia="zh-CN"/>
        </w:rPr>
        <w:t>30:00</w:t>
      </w:r>
      <w:r>
        <w:rPr>
          <w:rFonts w:hint="default" w:ascii="宋体" w:hAnsi="宋体" w:eastAsia="宋体" w:cs="宋体"/>
          <w:b w:val="0"/>
          <w:bCs w:val="0"/>
          <w:sz w:val="21"/>
          <w:szCs w:val="21"/>
          <w:highlight w:val="none"/>
          <w:lang w:val="en-US" w:eastAsia="zh-CN"/>
        </w:rPr>
        <w:t>。</w:t>
      </w:r>
    </w:p>
    <w:p w14:paraId="72FF61DD">
      <w:pPr>
        <w:pStyle w:val="28"/>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210" w:firstLineChars="1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kern w:val="2"/>
          <w:sz w:val="21"/>
          <w:szCs w:val="21"/>
          <w:lang w:val="en-US" w:eastAsia="zh-CN" w:bidi="ar-SA"/>
        </w:rPr>
        <w:t>1.2.</w:t>
      </w:r>
      <w:r>
        <w:rPr>
          <w:rFonts w:hint="eastAsia" w:ascii="宋体" w:hAnsi="宋体" w:eastAsia="宋体" w:cs="宋体"/>
          <w:b w:val="0"/>
          <w:bCs w:val="0"/>
          <w:sz w:val="21"/>
          <w:szCs w:val="21"/>
          <w:highlight w:val="none"/>
          <w:lang w:val="en-US" w:eastAsia="zh-CN"/>
        </w:rPr>
        <w:t>开标地点：</w:t>
      </w:r>
      <w:r>
        <w:rPr>
          <w:rFonts w:hint="eastAsia" w:ascii="宋体" w:hAnsi="Courier New" w:eastAsia="宋体" w:cs="Times New Roman"/>
          <w:kern w:val="2"/>
          <w:sz w:val="21"/>
          <w:lang w:val="en-US" w:eastAsia="zh-CN" w:bidi="ar-SA"/>
        </w:rPr>
        <w:t>济南市</w:t>
      </w:r>
      <w:r>
        <w:rPr>
          <w:rFonts w:hint="eastAsia" w:cs="Times New Roman"/>
          <w:kern w:val="2"/>
          <w:sz w:val="21"/>
          <w:lang w:val="en-US" w:eastAsia="zh-CN" w:bidi="ar-SA"/>
        </w:rPr>
        <w:t>历城区</w:t>
      </w:r>
      <w:r>
        <w:rPr>
          <w:rFonts w:hint="eastAsia" w:ascii="宋体" w:hAnsi="Courier New" w:eastAsia="宋体" w:cs="Times New Roman"/>
          <w:kern w:val="2"/>
          <w:sz w:val="21"/>
          <w:lang w:val="en-US" w:eastAsia="zh-CN" w:bidi="ar-SA"/>
        </w:rPr>
        <w:t>华奥路777号</w:t>
      </w:r>
      <w:r>
        <w:rPr>
          <w:rFonts w:hint="eastAsia" w:hAnsi="宋体" w:cs="宋体"/>
          <w:b w:val="0"/>
          <w:bCs w:val="0"/>
          <w:sz w:val="21"/>
          <w:szCs w:val="21"/>
          <w:highlight w:val="none"/>
          <w:lang w:val="en-US" w:eastAsia="zh-CN"/>
        </w:rPr>
        <w:t>重汽科技大厦</w:t>
      </w:r>
    </w:p>
    <w:p w14:paraId="4ECFB5AE">
      <w:pPr>
        <w:pStyle w:val="28"/>
        <w:keepNext w:val="0"/>
        <w:keepLines w:val="0"/>
        <w:pageBreakBefore w:val="0"/>
        <w:widowControl w:val="0"/>
        <w:numPr>
          <w:ilvl w:val="1"/>
          <w:numId w:val="0"/>
        </w:numPr>
        <w:kinsoku/>
        <w:wordWrap/>
        <w:overflowPunct/>
        <w:topLinePunct w:val="0"/>
        <w:autoSpaceDE/>
        <w:autoSpaceDN/>
        <w:bidi w:val="0"/>
        <w:adjustRightInd/>
        <w:snapToGrid/>
        <w:spacing w:line="440" w:lineRule="exact"/>
        <w:ind w:left="0" w:leftChars="0" w:firstLine="210" w:firstLineChars="1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kern w:val="2"/>
          <w:sz w:val="21"/>
          <w:szCs w:val="21"/>
          <w:lang w:val="en-US" w:eastAsia="zh-CN" w:bidi="ar-SA"/>
        </w:rPr>
        <w:t>1.3.</w:t>
      </w:r>
      <w:r>
        <w:rPr>
          <w:rFonts w:hint="eastAsia" w:ascii="宋体" w:hAnsi="宋体" w:eastAsia="宋体" w:cs="宋体"/>
          <w:b w:val="0"/>
          <w:bCs w:val="0"/>
          <w:sz w:val="21"/>
          <w:szCs w:val="21"/>
          <w:highlight w:val="none"/>
          <w:lang w:val="en-US" w:eastAsia="zh-CN"/>
        </w:rPr>
        <w:t>开标方式：</w:t>
      </w:r>
    </w:p>
    <w:p w14:paraId="4DCBC48A">
      <w:pPr>
        <w:pStyle w:val="29"/>
        <w:keepNext w:val="0"/>
        <w:keepLines w:val="0"/>
        <w:pageBreakBefore w:val="0"/>
        <w:widowControl w:val="0"/>
        <w:numPr>
          <w:ilvl w:val="0"/>
          <w:numId w:val="0"/>
        </w:numPr>
        <w:kinsoku/>
        <w:wordWrap/>
        <w:overflowPunct/>
        <w:topLinePunct w:val="0"/>
        <w:autoSpaceDE/>
        <w:autoSpaceDN/>
        <w:bidi w:val="0"/>
        <w:adjustRightInd/>
        <w:snapToGrid/>
        <w:ind w:leftChars="0"/>
        <w:textAlignment w:val="auto"/>
        <w:outlineLvl w:val="9"/>
        <w:rPr>
          <w:rFonts w:hint="eastAsia" w:ascii="宋体" w:hAnsi="宋体" w:eastAsia="宋体" w:cs="宋体"/>
          <w:color w:val="000000"/>
          <w:sz w:val="21"/>
          <w:szCs w:val="21"/>
          <w:highlight w:val="none"/>
          <w:u w:val="single"/>
        </w:rPr>
      </w:pPr>
      <w:r>
        <w:rPr>
          <w:rFonts w:hint="eastAsia" w:cs="Times New Roman"/>
          <w:b/>
          <w:bCs w:val="0"/>
          <w:color w:val="auto"/>
          <w:highlight w:val="none"/>
          <w:u w:val="single"/>
          <w:lang w:val="en-US" w:eastAsia="zh-CN"/>
        </w:rPr>
        <w:t>现场</w:t>
      </w:r>
      <w:r>
        <w:rPr>
          <w:rFonts w:hint="eastAsia" w:ascii="宋体" w:hAnsi="Courier New" w:eastAsia="宋体" w:cs="Times New Roman"/>
          <w:b/>
          <w:bCs w:val="0"/>
          <w:color w:val="auto"/>
          <w:kern w:val="2"/>
          <w:sz w:val="21"/>
          <w:highlight w:val="none"/>
          <w:u w:val="single"/>
          <w:lang w:val="en-US" w:eastAsia="zh-CN" w:bidi="ar-SA"/>
        </w:rPr>
        <w:t>招标</w:t>
      </w:r>
      <w:r>
        <w:rPr>
          <w:rFonts w:hint="eastAsia" w:cs="Times New Roman"/>
          <w:b/>
          <w:bCs w:val="0"/>
          <w:color w:val="auto"/>
          <w:kern w:val="2"/>
          <w:sz w:val="21"/>
          <w:highlight w:val="none"/>
          <w:u w:val="single"/>
          <w:lang w:val="en-US" w:eastAsia="zh-CN" w:bidi="ar-SA"/>
        </w:rPr>
        <w:t>。</w:t>
      </w:r>
      <w:r>
        <w:rPr>
          <w:rFonts w:hint="eastAsia" w:ascii="宋体" w:hAnsi="宋体" w:eastAsia="宋体" w:cs="宋体"/>
          <w:color w:val="000000"/>
          <w:sz w:val="21"/>
          <w:szCs w:val="21"/>
          <w:highlight w:val="none"/>
          <w:u w:val="single"/>
        </w:rPr>
        <w:t>原则上来现场参与开标。如因特殊情况无法现场参与，需在开标前三日，通知招标人，由招标人创建视频链接，并在报名结束后统一通知。</w:t>
      </w:r>
    </w:p>
    <w:p w14:paraId="59F17765">
      <w:pPr>
        <w:pStyle w:val="27"/>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0" w:leftChars="0" w:firstLine="240" w:firstLineChars="100"/>
        <w:textAlignment w:val="auto"/>
        <w:outlineLvl w:val="2"/>
        <w:rPr>
          <w:rFonts w:hint="eastAsia" w:ascii="黑体" w:hAnsi="黑体" w:eastAsia="黑体" w:cs="黑体"/>
          <w:b w:val="0"/>
          <w:bCs w:val="0"/>
          <w:sz w:val="24"/>
          <w:szCs w:val="24"/>
          <w:highlight w:val="none"/>
          <w:lang w:val="en-US" w:eastAsia="zh-CN"/>
        </w:rPr>
      </w:pPr>
      <w:r>
        <w:rPr>
          <w:rFonts w:hint="default" w:ascii="黑体" w:hAnsi="黑体" w:eastAsia="黑体" w:cs="黑体"/>
          <w:b w:val="0"/>
          <w:bCs w:val="0"/>
          <w:kern w:val="2"/>
          <w:sz w:val="24"/>
          <w:szCs w:val="24"/>
          <w:lang w:val="en-US" w:eastAsia="zh-CN" w:bidi="ar-SA"/>
        </w:rPr>
        <w:t>2.</w:t>
      </w:r>
      <w:r>
        <w:rPr>
          <w:rFonts w:hint="eastAsia" w:ascii="黑体" w:hAnsi="黑体" w:eastAsia="黑体" w:cs="黑体"/>
          <w:b w:val="0"/>
          <w:bCs w:val="0"/>
          <w:sz w:val="24"/>
          <w:szCs w:val="24"/>
          <w:highlight w:val="none"/>
          <w:lang w:val="en-US" w:eastAsia="zh-CN"/>
        </w:rPr>
        <w:t>评标</w:t>
      </w:r>
    </w:p>
    <w:p w14:paraId="2E1C69AD">
      <w:pPr>
        <w:pStyle w:val="27"/>
        <w:keepNext w:val="0"/>
        <w:keepLines w:val="0"/>
        <w:pageBreakBefore w:val="0"/>
        <w:widowControl w:val="0"/>
        <w:numPr>
          <w:ilvl w:val="1"/>
          <w:numId w:val="0"/>
        </w:numPr>
        <w:kinsoku/>
        <w:wordWrap/>
        <w:overflowPunct/>
        <w:topLinePunct w:val="0"/>
        <w:autoSpaceDE/>
        <w:autoSpaceDN/>
        <w:bidi w:val="0"/>
        <w:adjustRightInd/>
        <w:snapToGrid/>
        <w:spacing w:before="79" w:beforeLines="25" w:line="440" w:lineRule="exact"/>
        <w:ind w:left="0" w:leftChars="0" w:firstLine="200" w:firstLineChars="100"/>
        <w:textAlignment w:val="auto"/>
        <w:outlineLvl w:val="3"/>
        <w:rPr>
          <w:rFonts w:hint="eastAsia" w:cs="Times New Roman"/>
          <w:b/>
          <w:bCs w:val="0"/>
          <w:color w:val="FF0000"/>
          <w:highlight w:val="none"/>
          <w:lang w:val="en-US" w:eastAsia="zh-CN"/>
        </w:rPr>
      </w:pPr>
      <w:r>
        <w:rPr>
          <w:rFonts w:hint="default" w:ascii="Times New Roman" w:hAnsi="Times New Roman" w:eastAsia="黑体" w:cs="Times New Roman"/>
          <w:b w:val="0"/>
          <w:bCs w:val="0"/>
          <w:color w:val="000000" w:themeColor="text1"/>
          <w:kern w:val="2"/>
          <w:sz w:val="20"/>
          <w:szCs w:val="20"/>
          <w:lang w:val="en-US" w:eastAsia="zh-CN" w:bidi="ar-SA"/>
          <w14:textFill>
            <w14:solidFill>
              <w14:schemeClr w14:val="tx1"/>
            </w14:solidFill>
          </w14:textFill>
        </w:rPr>
        <w:t>2.1.</w:t>
      </w:r>
      <w:r>
        <w:rPr>
          <w:rFonts w:hint="eastAsia" w:ascii="黑体" w:hAnsi="黑体" w:eastAsia="黑体" w:cs="黑体"/>
          <w:b w:val="0"/>
          <w:bCs w:val="0"/>
          <w:sz w:val="21"/>
          <w:szCs w:val="21"/>
          <w:highlight w:val="none"/>
          <w:lang w:val="en-US" w:eastAsia="zh-CN"/>
        </w:rPr>
        <w:t>评标方法</w:t>
      </w:r>
    </w:p>
    <w:p w14:paraId="6DC86F23">
      <w:pPr>
        <w:spacing w:line="440" w:lineRule="exact"/>
        <w:ind w:firstLine="420" w:firstLineChars="200"/>
        <w:rPr>
          <w:rFonts w:hint="eastAsia"/>
          <w:u w:val="single"/>
          <w:lang w:val="en-US" w:eastAsia="zh-CN"/>
        </w:rPr>
      </w:pPr>
      <w:r>
        <w:rPr>
          <w:rFonts w:hint="eastAsia" w:ascii="宋体" w:hAnsi="宋体" w:cs="宋体"/>
          <w:bCs/>
          <w:color w:val="000000"/>
          <w:szCs w:val="21"/>
          <w:u w:val="single"/>
        </w:rPr>
        <w:t>为保证项目顺利实施，由招标人组织、按国家法律法规及公司相关规章制度要求，设立评标工作小组，同时依据以下评分标准，采用综合评定法，本着公平、公正、公开的原则，在最大限度地满足招标文件实质性要求的前提下，对招标文件中规定的各项因素进行综合评审，确定中标人，对未中标单位不做任何解释。招标人有权根据项目情况，采取多级评标模式，最终确定推荐中标人。</w:t>
      </w:r>
    </w:p>
    <w:p w14:paraId="0B2A8F6D">
      <w:pPr>
        <w:pStyle w:val="27"/>
        <w:keepNext w:val="0"/>
        <w:keepLines w:val="0"/>
        <w:pageBreakBefore w:val="0"/>
        <w:widowControl w:val="0"/>
        <w:numPr>
          <w:ilvl w:val="1"/>
          <w:numId w:val="0"/>
        </w:numPr>
        <w:kinsoku/>
        <w:wordWrap/>
        <w:overflowPunct/>
        <w:topLinePunct w:val="0"/>
        <w:autoSpaceDE/>
        <w:autoSpaceDN/>
        <w:bidi w:val="0"/>
        <w:adjustRightInd/>
        <w:snapToGrid/>
        <w:spacing w:before="79" w:beforeLines="25" w:line="440" w:lineRule="exact"/>
        <w:ind w:left="0" w:leftChars="0" w:firstLine="200" w:firstLineChars="100"/>
        <w:textAlignment w:val="auto"/>
        <w:outlineLvl w:val="3"/>
        <w:rPr>
          <w:rFonts w:hint="eastAsia" w:ascii="黑体" w:hAnsi="黑体" w:eastAsia="黑体" w:cs="黑体"/>
          <w:b w:val="0"/>
          <w:bCs w:val="0"/>
          <w:sz w:val="21"/>
          <w:szCs w:val="21"/>
          <w:highlight w:val="none"/>
          <w:lang w:val="en-US" w:eastAsia="zh-CN"/>
        </w:rPr>
      </w:pPr>
      <w:r>
        <w:rPr>
          <w:rFonts w:hint="default" w:ascii="Times New Roman" w:hAnsi="Times New Roman" w:eastAsia="黑体" w:cs="Times New Roman"/>
          <w:b w:val="0"/>
          <w:bCs w:val="0"/>
          <w:color w:val="000000" w:themeColor="text1"/>
          <w:kern w:val="2"/>
          <w:sz w:val="20"/>
          <w:szCs w:val="20"/>
          <w:lang w:val="en-US" w:eastAsia="zh-CN" w:bidi="ar-SA"/>
          <w14:textFill>
            <w14:solidFill>
              <w14:schemeClr w14:val="tx1"/>
            </w14:solidFill>
          </w14:textFill>
        </w:rPr>
        <w:t>2.2.</w:t>
      </w:r>
      <w:r>
        <w:rPr>
          <w:rFonts w:hint="eastAsia" w:ascii="黑体" w:hAnsi="黑体" w:eastAsia="黑体" w:cs="黑体"/>
          <w:b w:val="0"/>
          <w:bCs w:val="0"/>
          <w:sz w:val="21"/>
          <w:szCs w:val="21"/>
          <w:highlight w:val="none"/>
          <w:lang w:val="en-US" w:eastAsia="zh-CN"/>
        </w:rPr>
        <w:t>评标流程</w:t>
      </w:r>
    </w:p>
    <w:p w14:paraId="08C47440">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应标资格审查：在“中国重汽e采通”应标报名时，按照</w:t>
      </w:r>
      <w:r>
        <w:rPr>
          <w:rFonts w:hint="eastAsia" w:ascii="宋体" w:hAnsi="宋体" w:cs="宋体"/>
          <w:b w:val="0"/>
          <w:bCs/>
          <w:color w:val="000000"/>
          <w:sz w:val="21"/>
          <w:szCs w:val="21"/>
          <w:highlight w:val="none"/>
          <w:lang w:val="en-US" w:eastAsia="zh-CN"/>
        </w:rPr>
        <w:t>招标公告</w:t>
      </w:r>
      <w:r>
        <w:rPr>
          <w:rFonts w:hint="eastAsia" w:ascii="宋体" w:hAnsi="宋体" w:eastAsia="宋体" w:cs="宋体"/>
          <w:b w:val="0"/>
          <w:bCs/>
          <w:color w:val="000000"/>
          <w:sz w:val="21"/>
          <w:szCs w:val="21"/>
          <w:highlight w:val="none"/>
          <w:lang w:val="en-US" w:eastAsia="zh-CN"/>
        </w:rPr>
        <w:t>编制</w:t>
      </w:r>
      <w:r>
        <w:rPr>
          <w:rFonts w:hint="eastAsia" w:ascii="宋体" w:hAnsi="宋体" w:eastAsia="宋体" w:cs="宋体"/>
          <w:b w:val="0"/>
          <w:bCs/>
          <w:color w:val="000000"/>
          <w:sz w:val="21"/>
          <w:szCs w:val="21"/>
          <w:highlight w:val="none"/>
        </w:rPr>
        <w:t>资料，上传完毕后，等待审核；</w:t>
      </w:r>
    </w:p>
    <w:p w14:paraId="3925B8AD">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通过应标资格审查的单位进入投标环节，按照“SRM系统供应商用户手册</w:t>
      </w:r>
      <w:r>
        <w:rPr>
          <w:rFonts w:hint="eastAsia" w:ascii="宋体" w:hAnsi="宋体" w:cs="宋体"/>
          <w:b w:val="0"/>
          <w:bCs/>
          <w:color w:val="000000"/>
          <w:sz w:val="21"/>
          <w:szCs w:val="21"/>
          <w:highlight w:val="none"/>
          <w:lang w:eastAsia="zh-CN"/>
        </w:rPr>
        <w:t>（</w:t>
      </w:r>
      <w:r>
        <w:rPr>
          <w:rFonts w:hint="eastAsia" w:ascii="宋体" w:hAnsi="宋体" w:cs="宋体"/>
          <w:b w:val="0"/>
          <w:bCs/>
          <w:color w:val="000000"/>
          <w:sz w:val="21"/>
          <w:szCs w:val="21"/>
          <w:highlight w:val="none"/>
          <w:lang w:val="en-US" w:eastAsia="zh-CN"/>
        </w:rPr>
        <w:t>附件9</w:t>
      </w:r>
      <w:r>
        <w:rPr>
          <w:rFonts w:hint="eastAsia" w:ascii="宋体" w:hAnsi="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”，在重汽e采通平台投递电子标书（包含资质标、技术标、商务标）；没有通过应标资质审查的单位不能进入投标环节；</w:t>
      </w:r>
    </w:p>
    <w:p w14:paraId="3B34C86F">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资质标评审：资质标审核通过的单位，可以进入公开唱标环节；</w:t>
      </w:r>
    </w:p>
    <w:p w14:paraId="7E63C2E8">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公开唱标：公示资质标入围单位的开标价格及商务条款响应情况；</w:t>
      </w:r>
    </w:p>
    <w:p w14:paraId="67CC9B84">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商务标评审：商务条款</w:t>
      </w:r>
      <w:r>
        <w:rPr>
          <w:rFonts w:hint="eastAsia" w:ascii="宋体" w:hAnsi="宋体" w:cs="宋体"/>
          <w:b w:val="0"/>
          <w:bCs/>
          <w:color w:val="000000"/>
          <w:sz w:val="21"/>
          <w:szCs w:val="21"/>
          <w:highlight w:val="none"/>
          <w:lang w:val="en-US" w:eastAsia="zh-CN"/>
        </w:rPr>
        <w:t>相</w:t>
      </w:r>
      <w:r>
        <w:rPr>
          <w:rFonts w:hint="eastAsia" w:ascii="宋体" w:hAnsi="宋体" w:eastAsia="宋体" w:cs="宋体"/>
          <w:b w:val="0"/>
          <w:bCs/>
          <w:color w:val="000000"/>
          <w:sz w:val="21"/>
          <w:szCs w:val="21"/>
          <w:highlight w:val="none"/>
        </w:rPr>
        <w:t>应确认→价格澄清→商务标评审</w:t>
      </w:r>
      <w:r>
        <w:rPr>
          <w:rFonts w:hint="eastAsia" w:ascii="宋体" w:hAnsi="宋体" w:eastAsia="宋体" w:cs="宋体"/>
          <w:b w:val="0"/>
          <w:bCs/>
          <w:color w:val="000000"/>
          <w:sz w:val="21"/>
          <w:szCs w:val="21"/>
          <w:highlight w:val="none"/>
          <w:lang w:val="en-US" w:eastAsia="zh-CN"/>
        </w:rPr>
        <w:t>；采用多轮商务谈判评审，</w:t>
      </w:r>
      <w:r>
        <w:rPr>
          <w:rFonts w:hint="eastAsia" w:ascii="宋体" w:hAnsi="宋体" w:cs="宋体"/>
          <w:b w:val="0"/>
          <w:bCs/>
          <w:color w:val="000000"/>
          <w:sz w:val="21"/>
          <w:szCs w:val="21"/>
          <w:highlight w:val="none"/>
          <w:lang w:eastAsia="zh-CN"/>
        </w:rPr>
        <w:t>其间</w:t>
      </w:r>
      <w:r>
        <w:rPr>
          <w:rFonts w:hint="eastAsia" w:ascii="宋体" w:hAnsi="宋体" w:eastAsia="宋体" w:cs="宋体"/>
          <w:b w:val="0"/>
          <w:bCs/>
          <w:color w:val="000000"/>
          <w:sz w:val="21"/>
          <w:szCs w:val="21"/>
          <w:highlight w:val="none"/>
        </w:rPr>
        <w:t>产生的商务价格澄清均由投标人在重汽e采通平台限时内完成提交；</w:t>
      </w:r>
    </w:p>
    <w:p w14:paraId="693D672D">
      <w:pPr>
        <w:pStyle w:val="28"/>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注意：所有参与现场投标的投标人，需要自带笔记本电脑在</w:t>
      </w:r>
      <w:r>
        <w:rPr>
          <w:rFonts w:hint="eastAsia"/>
          <w:lang w:eastAsia="zh-CN"/>
        </w:rPr>
        <w:t>“</w:t>
      </w:r>
      <w:r>
        <w:rPr>
          <w:rFonts w:hint="eastAsia"/>
        </w:rPr>
        <w:t>重汽e采通</w:t>
      </w:r>
      <w:r>
        <w:rPr>
          <w:rFonts w:hint="eastAsia"/>
          <w:lang w:eastAsia="zh-CN"/>
        </w:rPr>
        <w:t>”</w:t>
      </w:r>
      <w:r>
        <w:rPr>
          <w:rFonts w:hint="eastAsia"/>
        </w:rPr>
        <w:t>进行自主投标和提交澄清函；投标和提交澄清函均有时间限制，超时未提交的按无效处理。</w:t>
      </w:r>
    </w:p>
    <w:p w14:paraId="7AB6E81D">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rPr>
      </w:pPr>
    </w:p>
    <w:p w14:paraId="3BF35107">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eastAsia="宋体"/>
          <w:lang w:val="en-US" w:eastAsia="zh-CN"/>
        </w:rPr>
      </w:pPr>
      <w:r>
        <w:rPr>
          <w:rFonts w:hint="eastAsia"/>
          <w:lang w:val="en-US" w:eastAsia="zh-CN"/>
        </w:rPr>
        <w:t>评分标准：</w:t>
      </w:r>
    </w:p>
    <w:tbl>
      <w:tblPr>
        <w:tblStyle w:val="12"/>
        <w:tblpPr w:leftFromText="180" w:rightFromText="180" w:vertAnchor="text" w:horzAnchor="page" w:tblpX="808" w:tblpY="1448"/>
        <w:tblOverlap w:val="never"/>
        <w:tblW w:w="101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6"/>
        <w:gridCol w:w="848"/>
        <w:gridCol w:w="1550"/>
        <w:gridCol w:w="1828"/>
        <w:gridCol w:w="4435"/>
      </w:tblGrid>
      <w:tr w14:paraId="6EBB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E18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评标因素</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E52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总分</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980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评分内容</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9871">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最高得分</w:t>
            </w:r>
          </w:p>
        </w:tc>
        <w:tc>
          <w:tcPr>
            <w:tcW w:w="4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E5B2">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评分标准</w:t>
            </w:r>
          </w:p>
        </w:tc>
      </w:tr>
      <w:tr w14:paraId="3B0F9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DE5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技术标</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857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100分</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8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技术方案</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E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C6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1、投标人自有出版物印刷主要印刷设备情况，印刷机必须是高速进口轮转印刷机，印刷机组必须在五组之上，印刷速度不低于每小时7.5万份。完全满足印刷时效，颜色真实、套印准确无误。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2、报纸纸张必须是进口新闻纸及检测报告。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3、印刷用的油墨必须是大品牌及检测报告。</w:t>
            </w:r>
          </w:p>
        </w:tc>
      </w:tr>
      <w:tr w14:paraId="4732F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E654B">
            <w:pPr>
              <w:jc w:val="center"/>
              <w:rPr>
                <w:rFonts w:hint="eastAsia" w:ascii="宋体" w:hAnsi="宋体" w:eastAsia="宋体" w:cs="宋体"/>
                <w:i w:val="0"/>
                <w:iCs w:val="0"/>
                <w:color w:val="000000"/>
                <w:sz w:val="22"/>
                <w:szCs w:val="2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C331">
            <w:pPr>
              <w:jc w:val="center"/>
              <w:rPr>
                <w:rFonts w:hint="eastAsia" w:ascii="宋体" w:hAnsi="宋体" w:eastAsia="宋体" w:cs="宋体"/>
                <w:i w:val="0"/>
                <w:iCs w:val="0"/>
                <w:color w:val="000000"/>
                <w:sz w:val="22"/>
                <w:szCs w:val="22"/>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5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公司综合实力</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B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6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根据投标人注册资金、成立年限、人员规模、行业资质等综合评价。综合实力强、资质齐全得12-15分；综合实力较好得8-11分；综合实力一般得0-7分。</w:t>
            </w:r>
          </w:p>
        </w:tc>
      </w:tr>
      <w:tr w14:paraId="2AB5A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3F98F">
            <w:pPr>
              <w:jc w:val="center"/>
              <w:rPr>
                <w:rFonts w:hint="eastAsia" w:ascii="宋体" w:hAnsi="宋体" w:eastAsia="宋体" w:cs="宋体"/>
                <w:i w:val="0"/>
                <w:iCs w:val="0"/>
                <w:color w:val="000000"/>
                <w:sz w:val="22"/>
                <w:szCs w:val="2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E8463">
            <w:pPr>
              <w:jc w:val="center"/>
              <w:rPr>
                <w:rFonts w:hint="eastAsia" w:ascii="宋体" w:hAnsi="宋体" w:eastAsia="宋体" w:cs="宋体"/>
                <w:i w:val="0"/>
                <w:iCs w:val="0"/>
                <w:color w:val="000000"/>
                <w:sz w:val="22"/>
                <w:szCs w:val="22"/>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5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项目业绩</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C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4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同类项目业绩:近1年承接过3个以上报纸印刷项目售后服务类项目，每提供1个合同得2分，最高10分。</w:t>
            </w:r>
          </w:p>
        </w:tc>
      </w:tr>
      <w:tr w14:paraId="3DD7E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797B">
            <w:pPr>
              <w:jc w:val="center"/>
              <w:rPr>
                <w:rFonts w:hint="eastAsia" w:ascii="宋体" w:hAnsi="宋体" w:eastAsia="宋体" w:cs="宋体"/>
                <w:i w:val="0"/>
                <w:iCs w:val="0"/>
                <w:color w:val="000000"/>
                <w:sz w:val="22"/>
                <w:szCs w:val="2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8415E">
            <w:pPr>
              <w:jc w:val="center"/>
              <w:rPr>
                <w:rFonts w:hint="eastAsia" w:ascii="宋体" w:hAnsi="宋体" w:eastAsia="宋体" w:cs="宋体"/>
                <w:i w:val="0"/>
                <w:iCs w:val="0"/>
                <w:color w:val="000000"/>
                <w:sz w:val="22"/>
                <w:szCs w:val="22"/>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9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售后服务</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A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5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响应时效:提供24小时技术支持及排版工作，;响应时效每增加2小时扣5分。</w:t>
            </w:r>
          </w:p>
        </w:tc>
      </w:tr>
      <w:tr w14:paraId="12DCA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8D5CA">
            <w:pPr>
              <w:jc w:val="center"/>
              <w:rPr>
                <w:rFonts w:hint="eastAsia" w:ascii="宋体" w:hAnsi="宋体" w:eastAsia="宋体" w:cs="宋体"/>
                <w:i w:val="0"/>
                <w:iCs w:val="0"/>
                <w:color w:val="000000"/>
                <w:sz w:val="22"/>
                <w:szCs w:val="22"/>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54E80">
            <w:pPr>
              <w:jc w:val="center"/>
              <w:rPr>
                <w:rFonts w:hint="eastAsia" w:ascii="宋体" w:hAnsi="宋体" w:eastAsia="宋体" w:cs="宋体"/>
                <w:i w:val="0"/>
                <w:iCs w:val="0"/>
                <w:color w:val="000000"/>
                <w:sz w:val="22"/>
                <w:szCs w:val="22"/>
                <w:u w:val="none"/>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F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人员配备</w:t>
            </w:r>
          </w:p>
        </w:tc>
        <w:tc>
          <w:tcPr>
            <w:tcW w:w="1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0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3F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1、需要在本地有自己的生产车间和仓库以应对突发情况。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2、参与设计人员有3年以上工作经验或相关资质，且有与机关卫生事业单位有合作经验。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3、需要供应商十分钟响应，半小时内开始印刷。</w:t>
            </w:r>
          </w:p>
        </w:tc>
      </w:tr>
      <w:tr w14:paraId="5C85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01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14244C">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评标基准价：</w:t>
            </w:r>
          </w:p>
          <w:p w14:paraId="5C45874F">
            <w:pPr>
              <w:keepNext w:val="0"/>
              <w:keepLines w:val="0"/>
              <w:widowControl/>
              <w:numPr>
                <w:ilvl w:val="0"/>
                <w:numId w:val="12"/>
              </w:numPr>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投标人对技术条款或技术参数按照采购清单要求进行逐条实质性响应,如有偏离</w:t>
            </w:r>
            <w:r>
              <w:rPr>
                <w:rFonts w:hint="eastAsia" w:ascii="宋体" w:hAnsi="宋体" w:cs="宋体"/>
                <w:i w:val="0"/>
                <w:iCs w:val="0"/>
                <w:color w:val="000000"/>
                <w:kern w:val="2"/>
                <w:sz w:val="21"/>
                <w:szCs w:val="21"/>
                <w:u w:val="none"/>
                <w:lang w:val="en-US" w:eastAsia="zh-CN" w:bidi="ar-SA"/>
              </w:rPr>
              <w:t>需要</w:t>
            </w:r>
            <w:r>
              <w:rPr>
                <w:rFonts w:hint="eastAsia" w:ascii="宋体" w:hAnsi="宋体" w:eastAsia="宋体" w:cs="宋体"/>
                <w:i w:val="0"/>
                <w:iCs w:val="0"/>
                <w:color w:val="000000"/>
                <w:kern w:val="2"/>
                <w:sz w:val="21"/>
                <w:szCs w:val="21"/>
                <w:u w:val="none"/>
                <w:lang w:val="en-US" w:eastAsia="zh-CN" w:bidi="ar-SA"/>
              </w:rPr>
              <w:t>在技术偏离表中标明。供应商需不低于技术要求的产品质量，满足用户使用需求，供货时需提供对应产品证明资料，若有虚假由供应商承担责任。技术参数要求中如果</w:t>
            </w:r>
            <w:r>
              <w:rPr>
                <w:rFonts w:hint="eastAsia" w:ascii="宋体" w:hAnsi="宋体" w:cs="宋体"/>
                <w:i w:val="0"/>
                <w:iCs w:val="0"/>
                <w:color w:val="000000"/>
                <w:kern w:val="2"/>
                <w:sz w:val="21"/>
                <w:szCs w:val="21"/>
                <w:u w:val="none"/>
                <w:lang w:val="en-US" w:eastAsia="zh-CN" w:bidi="ar-SA"/>
              </w:rPr>
              <w:t>涉及</w:t>
            </w:r>
            <w:r>
              <w:rPr>
                <w:rFonts w:hint="eastAsia" w:ascii="宋体" w:hAnsi="宋体" w:eastAsia="宋体" w:cs="宋体"/>
                <w:i w:val="0"/>
                <w:iCs w:val="0"/>
                <w:color w:val="000000"/>
                <w:kern w:val="2"/>
                <w:sz w:val="21"/>
                <w:szCs w:val="21"/>
                <w:u w:val="none"/>
                <w:lang w:val="en-US" w:eastAsia="zh-CN" w:bidi="ar-SA"/>
              </w:rPr>
              <w:t xml:space="preserve">某项及个性化的描述，均不作为对该产品的特定要求，投标单位可提供不低于技术要求的产品。 </w:t>
            </w:r>
          </w:p>
          <w:p w14:paraId="10029675">
            <w:pPr>
              <w:pStyle w:val="4"/>
              <w:numPr>
                <w:ilvl w:val="0"/>
                <w:numId w:val="12"/>
              </w:numPr>
              <w:ind w:left="0" w:leftChars="0" w:firstLine="0" w:firstLineChars="0"/>
              <w:jc w:val="both"/>
              <w:rPr>
                <w:rStyle w:val="30"/>
                <w:b w:val="0"/>
                <w:bCs w:val="0"/>
                <w:lang w:val="en-US" w:eastAsia="zh-CN" w:bidi="ar"/>
              </w:rPr>
            </w:pPr>
            <w:r>
              <w:rPr>
                <w:rStyle w:val="30"/>
                <w:b w:val="0"/>
                <w:bCs w:val="0"/>
                <w:lang w:val="en-US" w:eastAsia="zh-CN" w:bidi="ar"/>
              </w:rPr>
              <w:t>有效的评标基准价得</w:t>
            </w:r>
            <w:r>
              <w:rPr>
                <w:rStyle w:val="31"/>
                <w:rFonts w:eastAsia="宋体"/>
                <w:b w:val="0"/>
                <w:bCs w:val="0"/>
                <w:lang w:val="en-US" w:eastAsia="zh-CN" w:bidi="ar"/>
              </w:rPr>
              <w:t>100</w:t>
            </w:r>
            <w:r>
              <w:rPr>
                <w:rStyle w:val="30"/>
                <w:b w:val="0"/>
                <w:bCs w:val="0"/>
                <w:lang w:val="en-US" w:eastAsia="zh-CN" w:bidi="ar"/>
              </w:rPr>
              <w:t>分；其他投标人的价格得分按下列公式计算：投标价格得分</w:t>
            </w:r>
            <w:r>
              <w:rPr>
                <w:rStyle w:val="31"/>
                <w:rFonts w:eastAsia="宋体"/>
                <w:b w:val="0"/>
                <w:bCs w:val="0"/>
                <w:lang w:val="en-US" w:eastAsia="zh-CN" w:bidi="ar"/>
              </w:rPr>
              <w:t>=100</w:t>
            </w:r>
            <w:r>
              <w:rPr>
                <w:rStyle w:val="30"/>
                <w:b w:val="0"/>
                <w:bCs w:val="0"/>
                <w:lang w:val="en-US" w:eastAsia="zh-CN" w:bidi="ar"/>
              </w:rPr>
              <w:t>×（评标基准价</w:t>
            </w:r>
            <w:r>
              <w:rPr>
                <w:rStyle w:val="31"/>
                <w:rFonts w:eastAsia="宋体"/>
                <w:b w:val="0"/>
                <w:bCs w:val="0"/>
                <w:lang w:val="en-US" w:eastAsia="zh-CN" w:bidi="ar"/>
              </w:rPr>
              <w:t>/</w:t>
            </w:r>
            <w:r>
              <w:rPr>
                <w:rStyle w:val="30"/>
                <w:b w:val="0"/>
                <w:bCs w:val="0"/>
                <w:lang w:val="en-US" w:eastAsia="zh-CN" w:bidi="ar"/>
              </w:rPr>
              <w:t>投标报价）。</w:t>
            </w:r>
            <w:r>
              <w:rPr>
                <w:rStyle w:val="30"/>
                <w:rFonts w:hint="eastAsia"/>
                <w:b/>
                <w:bCs/>
                <w:lang w:val="en-US" w:eastAsia="zh-CN" w:bidi="ar"/>
              </w:rPr>
              <w:t>75分</w:t>
            </w:r>
            <w:r>
              <w:rPr>
                <w:rStyle w:val="30"/>
                <w:rFonts w:hint="eastAsia"/>
                <w:b w:val="0"/>
                <w:bCs w:val="0"/>
                <w:lang w:val="en-US" w:eastAsia="zh-CN" w:bidi="ar"/>
              </w:rPr>
              <w:t>以上入围商务标。</w:t>
            </w:r>
          </w:p>
          <w:p w14:paraId="76534976">
            <w:pPr>
              <w:numPr>
                <w:ilvl w:val="0"/>
                <w:numId w:val="0"/>
              </w:numPr>
              <w:ind w:left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注：得分值取小数点后两位，不足一个百分点的，按照四舍五入法计算。</w:t>
            </w:r>
          </w:p>
          <w:p w14:paraId="1C963F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综合得分</w:t>
            </w:r>
            <w:r>
              <w:rPr>
                <w:rFonts w:hint="default" w:ascii="Times New Roman" w:hAnsi="Times New Roman" w:eastAsia="宋体" w:cs="Times New Roman"/>
                <w:b/>
                <w:bCs/>
                <w:i w:val="0"/>
                <w:iCs w:val="0"/>
                <w:color w:val="000000"/>
                <w:kern w:val="0"/>
                <w:sz w:val="21"/>
                <w:szCs w:val="21"/>
                <w:u w:val="none"/>
                <w:lang w:val="en-US" w:eastAsia="zh-CN" w:bidi="ar"/>
              </w:rPr>
              <w:t>=</w:t>
            </w:r>
            <w:r>
              <w:rPr>
                <w:rStyle w:val="32"/>
                <w:lang w:val="en-US" w:eastAsia="zh-CN" w:bidi="ar"/>
              </w:rPr>
              <w:t>技术分×</w:t>
            </w:r>
            <w:r>
              <w:rPr>
                <w:rFonts w:hint="eastAsia" w:ascii="Times New Roman" w:hAnsi="Times New Roman" w:eastAsia="宋体" w:cs="Times New Roman"/>
                <w:b/>
                <w:bCs/>
                <w:i w:val="0"/>
                <w:iCs w:val="0"/>
                <w:color w:val="000000"/>
                <w:kern w:val="0"/>
                <w:sz w:val="21"/>
                <w:szCs w:val="21"/>
                <w:u w:val="none"/>
                <w:lang w:val="en-US" w:eastAsia="zh-CN" w:bidi="ar"/>
              </w:rPr>
              <w:t>30</w:t>
            </w:r>
            <w:r>
              <w:rPr>
                <w:rFonts w:hint="default" w:ascii="Times New Roman" w:hAnsi="Times New Roman" w:eastAsia="宋体" w:cs="Times New Roman"/>
                <w:b/>
                <w:bCs/>
                <w:i w:val="0"/>
                <w:iCs w:val="0"/>
                <w:color w:val="000000"/>
                <w:kern w:val="0"/>
                <w:sz w:val="21"/>
                <w:szCs w:val="21"/>
                <w:u w:val="none"/>
                <w:lang w:val="en-US" w:eastAsia="zh-CN" w:bidi="ar"/>
              </w:rPr>
              <w:t>%</w:t>
            </w:r>
            <w:r>
              <w:rPr>
                <w:rStyle w:val="32"/>
                <w:lang w:val="en-US" w:eastAsia="zh-CN" w:bidi="ar"/>
              </w:rPr>
              <w:t>＋商务标得分×</w:t>
            </w:r>
            <w:r>
              <w:rPr>
                <w:rFonts w:hint="eastAsia" w:ascii="Times New Roman" w:hAnsi="Times New Roman" w:eastAsia="宋体" w:cs="Times New Roman"/>
                <w:b/>
                <w:bCs/>
                <w:i w:val="0"/>
                <w:iCs w:val="0"/>
                <w:color w:val="000000"/>
                <w:kern w:val="0"/>
                <w:sz w:val="21"/>
                <w:szCs w:val="21"/>
                <w:u w:val="none"/>
                <w:lang w:val="en-US" w:eastAsia="zh-CN" w:bidi="ar"/>
              </w:rPr>
              <w:t>70</w:t>
            </w:r>
            <w:r>
              <w:rPr>
                <w:rFonts w:hint="default" w:ascii="Times New Roman" w:hAnsi="Times New Roman" w:eastAsia="宋体" w:cs="Times New Roman"/>
                <w:b/>
                <w:bCs/>
                <w:i w:val="0"/>
                <w:iCs w:val="0"/>
                <w:color w:val="000000"/>
                <w:kern w:val="0"/>
                <w:sz w:val="21"/>
                <w:szCs w:val="21"/>
                <w:u w:val="none"/>
                <w:lang w:val="en-US" w:eastAsia="zh-CN" w:bidi="ar"/>
              </w:rPr>
              <w:t>%</w:t>
            </w:r>
          </w:p>
        </w:tc>
      </w:tr>
    </w:tbl>
    <w:p w14:paraId="7C0A112D">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pPr>
      <w:r>
        <w:rPr>
          <w:rFonts w:hint="eastAsia" w:cs="Times New Roman"/>
          <w:lang w:val="en-US" w:eastAsia="zh-CN"/>
        </w:rPr>
        <w:t>八、定标</w:t>
      </w:r>
    </w:p>
    <w:p w14:paraId="6B705137">
      <w:pPr>
        <w:pStyle w:val="28"/>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lang w:eastAsia="zh-CN"/>
        </w:rPr>
      </w:pPr>
      <w:r>
        <w:rPr>
          <w:rFonts w:hint="eastAsia"/>
        </w:rPr>
        <w:t>本项目只产生</w:t>
      </w:r>
      <w:r>
        <w:rPr>
          <w:rFonts w:hint="eastAsia"/>
          <w:highlight w:val="none"/>
          <w:u w:val="single"/>
          <w:lang w:val="en-US" w:eastAsia="zh-CN"/>
        </w:rPr>
        <w:t>1</w:t>
      </w:r>
      <w:r>
        <w:rPr>
          <w:rFonts w:hint="eastAsia"/>
        </w:rPr>
        <w:t>个中标人。中标人签订合同前须进行最终审查。最终审查的对象</w:t>
      </w:r>
      <w:r>
        <w:rPr>
          <w:rFonts w:hint="eastAsia"/>
          <w:lang w:val="en-US" w:eastAsia="zh-CN"/>
        </w:rPr>
        <w:t>是</w:t>
      </w:r>
      <w:r>
        <w:rPr>
          <w:rFonts w:hint="eastAsia"/>
        </w:rPr>
        <w:t>投标项目的中标候选人。最终审查的内容是对中标候选人的经营状况、服务质量、资格、信誉以及招标人认为有必要了解的其它问题</w:t>
      </w:r>
      <w:r>
        <w:rPr>
          <w:rFonts w:hint="eastAsia"/>
          <w:lang w:eastAsia="zh-CN"/>
        </w:rPr>
        <w:t>做</w:t>
      </w:r>
      <w:r>
        <w:rPr>
          <w:rFonts w:hint="eastAsia"/>
        </w:rPr>
        <w:t>进一步的</w:t>
      </w:r>
      <w:r>
        <w:rPr>
          <w:rFonts w:hint="eastAsia"/>
          <w:lang w:eastAsia="zh-CN"/>
        </w:rPr>
        <w:t>考察</w:t>
      </w:r>
      <w:r>
        <w:rPr>
          <w:rFonts w:hint="eastAsia"/>
        </w:rPr>
        <w:t>及后审。最终审查的方式，根据需要采取问询或实地查证等方式。如审查结果不符合成交条件</w:t>
      </w:r>
      <w:r>
        <w:rPr>
          <w:rFonts w:hint="eastAsia"/>
          <w:lang w:val="en-US" w:eastAsia="zh-CN"/>
        </w:rPr>
        <w:t>的</w:t>
      </w:r>
      <w:r>
        <w:rPr>
          <w:rFonts w:hint="eastAsia"/>
        </w:rPr>
        <w:t>，则本次评标作废</w:t>
      </w:r>
      <w:r>
        <w:rPr>
          <w:rFonts w:hint="eastAsia"/>
          <w:lang w:val="en-US" w:eastAsia="zh-CN"/>
        </w:rPr>
        <w:t>或变更意向中标人</w:t>
      </w:r>
      <w:r>
        <w:rPr>
          <w:rFonts w:hint="eastAsia"/>
          <w:lang w:eastAsia="zh-CN"/>
        </w:rPr>
        <w:t>。</w:t>
      </w:r>
    </w:p>
    <w:p w14:paraId="434A2260">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pPr>
      <w:r>
        <w:rPr>
          <w:rFonts w:hint="eastAsia" w:hAnsi="黑体" w:cstheme="minorBidi"/>
          <w:b/>
          <w:bCs/>
          <w:kern w:val="2"/>
          <w:sz w:val="28"/>
          <w:szCs w:val="28"/>
          <w:highlight w:val="none"/>
          <w:lang w:val="en-US" w:eastAsia="zh-CN" w:bidi="ar-SA"/>
        </w:rPr>
        <w:t>九、</w:t>
      </w:r>
      <w:r>
        <w:rPr>
          <w:rFonts w:hint="eastAsia"/>
          <w:lang w:val="en-US" w:eastAsia="zh-CN"/>
        </w:rPr>
        <w:t>废标及终止招标</w:t>
      </w:r>
    </w:p>
    <w:p w14:paraId="0C3179D2">
      <w:pPr>
        <w:pStyle w:val="27"/>
        <w:keepNext w:val="0"/>
        <w:keepLines w:val="0"/>
        <w:pageBreakBefore w:val="0"/>
        <w:widowControl w:val="0"/>
        <w:numPr>
          <w:ilvl w:val="0"/>
          <w:numId w:val="13"/>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投标人提供的有关资格、资质证明文件不合格、不真实或提供虚假投标材料；</w:t>
      </w:r>
    </w:p>
    <w:p w14:paraId="6FDED8FB">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投标人在报价有效期内撤回投标；</w:t>
      </w:r>
    </w:p>
    <w:p w14:paraId="3376C2B4">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lang w:eastAsia="zh-CN"/>
        </w:rPr>
      </w:pPr>
      <w:r>
        <w:rPr>
          <w:rFonts w:hint="eastAsia"/>
        </w:rPr>
        <w:t>在整个评标过程中，投标人有企图影响评标结果公正性的任何活动；</w:t>
      </w:r>
    </w:p>
    <w:p w14:paraId="43958B1B">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投标人以任何方式诋毁其他投标人；</w:t>
      </w:r>
    </w:p>
    <w:p w14:paraId="4B7A3D41">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投标人串通投标；</w:t>
      </w:r>
    </w:p>
    <w:p w14:paraId="4AFE6A78">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投标人被举报、检举，并经招标人查实无误的；</w:t>
      </w:r>
    </w:p>
    <w:p w14:paraId="34970088">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以他人名义投标或者以其他方式弄虚作假，骗取中标的；</w:t>
      </w:r>
    </w:p>
    <w:p w14:paraId="37A45F95">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投标人负责人为同一人或者存在控股、管理关系的不同单位；</w:t>
      </w:r>
    </w:p>
    <w:p w14:paraId="6BBD4266">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有效投标不足三家；</w:t>
      </w:r>
    </w:p>
    <w:p w14:paraId="1D2B4C1A">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不同投标人的投标文件异常一致或者投标报价呈规律性差异的；</w:t>
      </w:r>
    </w:p>
    <w:p w14:paraId="6C84FB5F">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投标人报价均超过</w:t>
      </w:r>
      <w:r>
        <w:rPr>
          <w:rFonts w:hint="eastAsia"/>
          <w:lang w:val="en-US" w:eastAsia="zh-CN"/>
        </w:rPr>
        <w:t>最高限价</w:t>
      </w:r>
      <w:r>
        <w:rPr>
          <w:rFonts w:hint="eastAsia"/>
        </w:rPr>
        <w:t>的；</w:t>
      </w:r>
    </w:p>
    <w:p w14:paraId="627A4FDE">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未按要求填报商务报价资料，对招标开展造成较大影响；</w:t>
      </w:r>
    </w:p>
    <w:p w14:paraId="720979DB">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lang w:val="en-US" w:eastAsia="zh-CN"/>
        </w:rPr>
        <w:t>未按照招标人规定的时间内在中国重汽e采通完成投标的；</w:t>
      </w:r>
    </w:p>
    <w:p w14:paraId="2A852CD1">
      <w:pPr>
        <w:pStyle w:val="28"/>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法律、法规规定的其他情况。</w:t>
      </w:r>
    </w:p>
    <w:p w14:paraId="215E3D0C">
      <w:pPr>
        <w:pStyle w:val="27"/>
        <w:keepNext w:val="0"/>
        <w:keepLines w:val="0"/>
        <w:pageBreakBefore w:val="0"/>
        <w:widowControl w:val="0"/>
        <w:numPr>
          <w:ilvl w:val="0"/>
          <w:numId w:val="13"/>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出现下列情形之一，招标人有权否决所有投标人的投标，并终止招标。</w:t>
      </w:r>
    </w:p>
    <w:p w14:paraId="6BC017B6">
      <w:pPr>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符合条件的投标人或者对招标文件做实质响应的投标人不足三家的；</w:t>
      </w:r>
    </w:p>
    <w:p w14:paraId="4633ED60">
      <w:pPr>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评标委员会经评审，认为所有投标都不符合招标文件要求的；</w:t>
      </w:r>
    </w:p>
    <w:p w14:paraId="1872B765">
      <w:pPr>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因重大变故，采购任务取消的</w:t>
      </w:r>
      <w:bookmarkStart w:id="2" w:name="OLE_LINK25"/>
      <w:bookmarkStart w:id="3" w:name="OLE_LINK27"/>
      <w:bookmarkStart w:id="4" w:name="OLE_LINK26"/>
      <w:bookmarkStart w:id="5" w:name="OLE_LINK28"/>
      <w:bookmarkStart w:id="6" w:name="OLE_LINK29"/>
      <w:r>
        <w:rPr>
          <w:rFonts w:hint="eastAsia" w:ascii="宋体" w:hAnsi="宋体" w:eastAsia="宋体" w:cs="宋体"/>
          <w:sz w:val="21"/>
          <w:szCs w:val="21"/>
          <w:highlight w:val="none"/>
        </w:rPr>
        <w:t>；</w:t>
      </w:r>
      <w:bookmarkEnd w:id="2"/>
      <w:bookmarkEnd w:id="3"/>
      <w:bookmarkEnd w:id="4"/>
      <w:bookmarkEnd w:id="5"/>
      <w:bookmarkEnd w:id="6"/>
    </w:p>
    <w:p w14:paraId="5CD1D199">
      <w:pPr>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招标人认为其他应终止招标的情形。</w:t>
      </w:r>
    </w:p>
    <w:p w14:paraId="24E6827E">
      <w:pPr>
        <w:pStyle w:val="27"/>
        <w:keepNext w:val="0"/>
        <w:keepLines w:val="0"/>
        <w:pageBreakBefore w:val="0"/>
        <w:widowControl w:val="0"/>
        <w:numPr>
          <w:ilvl w:val="0"/>
          <w:numId w:val="13"/>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pPr>
      <w:r>
        <w:rPr>
          <w:rFonts w:hint="eastAsia" w:hAnsi="黑体" w:cstheme="minorBidi"/>
          <w:b/>
          <w:bCs/>
          <w:kern w:val="2"/>
          <w:sz w:val="28"/>
          <w:szCs w:val="28"/>
          <w:highlight w:val="none"/>
          <w:lang w:val="en-US" w:eastAsia="zh-CN" w:bidi="ar-SA"/>
        </w:rPr>
        <w:t>十、</w:t>
      </w:r>
      <w:r>
        <w:rPr>
          <w:rFonts w:hint="eastAsia" w:hAnsi="Courier New" w:cs="Times New Roman"/>
          <w:highlight w:val="none"/>
          <w:lang w:val="en-US" w:eastAsia="zh-CN"/>
        </w:rPr>
        <w:t>合同</w:t>
      </w:r>
      <w:r>
        <w:rPr>
          <w:rFonts w:hint="eastAsia"/>
          <w:lang w:val="en-US" w:eastAsia="zh-CN"/>
        </w:rPr>
        <w:t>签订</w:t>
      </w:r>
    </w:p>
    <w:p w14:paraId="38A4E3E0">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color w:val="000000"/>
          <w:sz w:val="21"/>
          <w:szCs w:val="21"/>
        </w:rPr>
      </w:pPr>
      <w:r>
        <w:rPr>
          <w:rFonts w:hint="eastAsia" w:ascii="宋体" w:hAnsi="宋体" w:cs="宋体"/>
          <w:color w:val="000000"/>
          <w:sz w:val="21"/>
          <w:szCs w:val="21"/>
        </w:rPr>
        <w:t>招标人根据评标工作小组的评标结果确定中标人，在重汽e采通平台公布中标结果，并发送中标通知。</w:t>
      </w:r>
    </w:p>
    <w:p w14:paraId="01A8757D">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color w:val="000000"/>
          <w:sz w:val="21"/>
          <w:szCs w:val="21"/>
        </w:rPr>
      </w:pPr>
      <w:r>
        <w:rPr>
          <w:rFonts w:hint="eastAsia" w:ascii="宋体" w:hAnsi="宋体" w:cs="宋体"/>
          <w:color w:val="000000"/>
          <w:sz w:val="21"/>
          <w:szCs w:val="21"/>
        </w:rPr>
        <w:t>中标人应该在中标通知书规定的时间、地点与招标人签订采购合同，否则按照开标后撤回投标处理。</w:t>
      </w:r>
    </w:p>
    <w:p w14:paraId="05680D5A">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b w:val="0"/>
          <w:bCs w:val="0"/>
          <w:sz w:val="21"/>
          <w:szCs w:val="21"/>
        </w:rPr>
      </w:pPr>
      <w:r>
        <w:rPr>
          <w:rFonts w:hint="eastAsia" w:ascii="宋体" w:hAnsi="宋体" w:cs="宋体"/>
          <w:b w:val="0"/>
          <w:bCs w:val="0"/>
          <w:color w:val="000000"/>
          <w:sz w:val="21"/>
          <w:szCs w:val="21"/>
        </w:rPr>
        <w:t>中标人应当按照合同约定的履约责任，在保证质量的前提下完成中标项目，不得将中标项目转包或分包给他人，否则视为违约，招标人有权解除合同。</w:t>
      </w:r>
    </w:p>
    <w:p w14:paraId="096ACE9E">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0" w:firstLineChars="0"/>
        <w:textAlignment w:val="auto"/>
      </w:pPr>
      <w:r>
        <w:rPr>
          <w:rFonts w:hint="eastAsia" w:ascii="宋体" w:hAnsi="宋体" w:cs="宋体"/>
          <w:b w:val="0"/>
          <w:bCs w:val="0"/>
          <w:color w:val="000000"/>
          <w:sz w:val="21"/>
          <w:szCs w:val="21"/>
        </w:rPr>
        <w:t>招标人有权指定招标人的关联单位作为合同签订人，与中标人签署相关合同，且具体权利义务以中标人与招标人的关联公司最终签署的合同为准</w:t>
      </w:r>
      <w:r>
        <w:rPr>
          <w:rFonts w:hint="eastAsia" w:ascii="宋体" w:hAnsi="宋体" w:cs="宋体"/>
          <w:b w:val="0"/>
          <w:bCs w:val="0"/>
          <w:color w:val="000000"/>
          <w:sz w:val="21"/>
          <w:szCs w:val="21"/>
          <w:lang w:eastAsia="zh-CN"/>
        </w:rPr>
        <w:t>。</w:t>
      </w:r>
    </w:p>
    <w:p w14:paraId="5591E191">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val="0"/>
          <w:color w:val="000000"/>
          <w:sz w:val="21"/>
          <w:szCs w:val="21"/>
          <w:highlight w:val="none"/>
        </w:rPr>
      </w:pPr>
      <w:r>
        <w:rPr>
          <w:rFonts w:hint="eastAsia" w:ascii="宋体" w:hAnsi="宋体" w:cs="宋体"/>
          <w:b/>
          <w:bCs w:val="0"/>
          <w:sz w:val="21"/>
          <w:szCs w:val="21"/>
        </w:rPr>
        <w:t>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val="0"/>
          <w:color w:val="000000"/>
          <w:sz w:val="21"/>
          <w:szCs w:val="21"/>
          <w:highlight w:val="none"/>
        </w:rPr>
      </w:pPr>
      <w:r>
        <w:rPr>
          <w:rFonts w:hint="eastAsia" w:ascii="宋体" w:hAnsi="宋体" w:cs="宋体"/>
          <w:b/>
          <w:bCs w:val="0"/>
          <w:sz w:val="21"/>
          <w:szCs w:val="21"/>
        </w:rPr>
        <w:t>合同以双方最终签署的版本为准。</w:t>
      </w:r>
    </w:p>
    <w:p w14:paraId="610E8BB3">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pPr>
      <w:r>
        <w:rPr>
          <w:rFonts w:hint="eastAsia" w:hAnsi="黑体" w:cstheme="minorBidi"/>
          <w:b/>
          <w:bCs/>
          <w:kern w:val="2"/>
          <w:sz w:val="28"/>
          <w:szCs w:val="28"/>
          <w:highlight w:val="none"/>
          <w:lang w:val="en-US" w:eastAsia="zh-CN" w:bidi="ar-SA"/>
        </w:rPr>
        <w:t>十一、</w:t>
      </w:r>
      <w:r>
        <w:rPr>
          <w:rFonts w:hint="eastAsia"/>
          <w:lang w:val="en-US" w:eastAsia="zh-CN"/>
        </w:rPr>
        <w:t>交货及付款</w:t>
      </w:r>
    </w:p>
    <w:p w14:paraId="0DD46053">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lang w:val="en-US" w:eastAsia="zh-CN"/>
        </w:rPr>
      </w:pPr>
      <w:r>
        <w:rPr>
          <w:rFonts w:hint="eastAsia" w:cs="Times New Roman"/>
          <w:lang w:val="en-US" w:eastAsia="zh-CN"/>
        </w:rPr>
        <w:t>交货期：以最终签署的协议（或合同）约定为准。</w:t>
      </w:r>
    </w:p>
    <w:p w14:paraId="6AAC4A46">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lang w:val="en-US" w:eastAsia="zh-CN"/>
        </w:rPr>
        <w:t>交货地点：</w:t>
      </w:r>
      <w:r>
        <w:rPr>
          <w:rFonts w:hint="eastAsia" w:ascii="宋体" w:hAnsi="Courier New" w:eastAsia="宋体" w:cs="Times New Roman"/>
          <w:kern w:val="2"/>
          <w:sz w:val="21"/>
          <w:highlight w:val="none"/>
          <w:lang w:val="en-US" w:eastAsia="zh-CN" w:bidi="ar-SA"/>
        </w:rPr>
        <w:t>济南市高新区华奥路777号</w:t>
      </w:r>
    </w:p>
    <w:p w14:paraId="6C8560A2">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cs="Times New Roman"/>
          <w:highlight w:val="none"/>
          <w:lang w:val="en-US" w:eastAsia="zh-CN"/>
        </w:rPr>
        <w:t>交货方式：当面交付</w:t>
      </w:r>
    </w:p>
    <w:p w14:paraId="0EB9CF18">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cs="Times New Roman"/>
          <w:highlight w:val="none"/>
          <w:lang w:val="en-US" w:eastAsia="zh-CN"/>
        </w:rPr>
        <w:t>质保期：</w:t>
      </w:r>
      <w:r>
        <w:rPr>
          <w:rFonts w:hint="eastAsia" w:cs="Times New Roman"/>
          <w:lang w:val="en-US" w:eastAsia="zh-CN"/>
        </w:rPr>
        <w:t>以最终签署的协议（或合同）约定为准。</w:t>
      </w:r>
    </w:p>
    <w:p w14:paraId="1E158494">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付款条件：乙方</w:t>
      </w:r>
      <w:r>
        <w:rPr>
          <w:rFonts w:hint="eastAsia" w:ascii="宋体" w:hAnsi="宋体" w:eastAsia="宋体" w:cs="宋体"/>
          <w:sz w:val="21"/>
          <w:szCs w:val="21"/>
          <w:highlight w:val="none"/>
          <w:lang w:val="en-US" w:eastAsia="zh-CN"/>
        </w:rPr>
        <w:t>按照甲方要求</w:t>
      </w:r>
      <w:r>
        <w:rPr>
          <w:rFonts w:hint="eastAsia" w:ascii="宋体" w:hAnsi="宋体" w:eastAsia="宋体" w:cs="宋体"/>
          <w:sz w:val="21"/>
          <w:szCs w:val="21"/>
          <w:highlight w:val="none"/>
          <w:lang w:val="zh-CN"/>
        </w:rPr>
        <w:t>完成</w:t>
      </w:r>
      <w:r>
        <w:rPr>
          <w:rFonts w:hint="eastAsia" w:ascii="宋体" w:hAnsi="宋体" w:eastAsia="宋体" w:cs="宋体"/>
          <w:sz w:val="21"/>
          <w:szCs w:val="21"/>
          <w:highlight w:val="none"/>
          <w:lang w:val="en-US" w:eastAsia="zh-CN"/>
        </w:rPr>
        <w:t>每期《重型汽车报》的印刷及发行工作</w:t>
      </w:r>
      <w:r>
        <w:rPr>
          <w:rFonts w:hint="eastAsia" w:ascii="宋体" w:hAnsi="宋体" w:eastAsia="宋体" w:cs="宋体"/>
          <w:sz w:val="21"/>
          <w:szCs w:val="21"/>
          <w:highlight w:val="none"/>
          <w:lang w:val="zh-CN"/>
        </w:rPr>
        <w:t>，</w:t>
      </w:r>
      <w:r>
        <w:rPr>
          <w:rFonts w:hint="eastAsia" w:ascii="宋体" w:hAnsi="宋体" w:eastAsia="宋体" w:cs="宋体"/>
          <w:sz w:val="21"/>
          <w:szCs w:val="21"/>
          <w:highlight w:val="none"/>
          <w:lang w:val="en-US" w:eastAsia="zh-CN"/>
        </w:rPr>
        <w:t>并</w:t>
      </w:r>
      <w:r>
        <w:rPr>
          <w:rFonts w:hint="eastAsia" w:ascii="宋体" w:hAnsi="宋体" w:eastAsia="宋体" w:cs="宋体"/>
          <w:sz w:val="21"/>
          <w:szCs w:val="21"/>
          <w:highlight w:val="none"/>
          <w:lang w:val="zh-CN"/>
        </w:rPr>
        <w:t>向甲方提供增值税专用发票，甲方向乙方付清款项。</w:t>
      </w:r>
    </w:p>
    <w:p w14:paraId="344437A9">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付款周期：月结</w:t>
      </w:r>
    </w:p>
    <w:p w14:paraId="58279EB9">
      <w:pPr>
        <w:pStyle w:val="28"/>
        <w:keepNext w:val="0"/>
        <w:keepLines w:val="0"/>
        <w:pageBreakBefore w:val="0"/>
        <w:widowControl w:val="0"/>
        <w:numPr>
          <w:ilvl w:val="0"/>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付款方式：</w:t>
      </w:r>
      <w:r>
        <w:rPr>
          <w:rFonts w:hint="eastAsia" w:ascii="宋体" w:hAnsi="宋体" w:eastAsia="宋体" w:cs="宋体"/>
          <w:sz w:val="21"/>
          <w:szCs w:val="21"/>
          <w:highlight w:val="none"/>
          <w:lang w:val="en-US" w:eastAsia="zh-CN"/>
        </w:rPr>
        <w:t>现款结算（或电汇）</w:t>
      </w:r>
    </w:p>
    <w:p w14:paraId="19554525">
      <w:pPr>
        <w:keepNext w:val="0"/>
        <w:keepLines w:val="0"/>
        <w:widowControl/>
        <w:suppressLineNumbers w:val="0"/>
        <w:jc w:val="left"/>
        <w:rPr>
          <w:rFonts w:hint="default" w:ascii="仿宋_GB2312" w:hAnsi="仿宋" w:eastAsia="仿宋_GB2312"/>
          <w:sz w:val="32"/>
          <w:szCs w:val="32"/>
          <w:highlight w:val="none"/>
          <w:lang w:val="en-US" w:eastAsia="zh-CN"/>
        </w:rPr>
      </w:pPr>
      <w:r>
        <w:rPr>
          <w:rFonts w:hint="eastAsia" w:ascii="宋体" w:hAnsi="宋体" w:eastAsia="宋体" w:cs="宋体"/>
          <w:color w:val="000000"/>
          <w:kern w:val="0"/>
          <w:sz w:val="21"/>
          <w:szCs w:val="21"/>
          <w:highlight w:val="none"/>
          <w:lang w:val="en-US" w:eastAsia="zh-CN" w:bidi="ar"/>
        </w:rPr>
        <w:t>印刷费用结算周期为：每月结算一次印刷费，甲方对交付的印刷成品验收合格，乙方开具当期费用的增值税专用发票后，甲方 30 日内支付款项。</w:t>
      </w:r>
      <w:r>
        <w:rPr>
          <w:rFonts w:hint="eastAsia" w:ascii="宋体" w:hAnsi="宋体" w:eastAsia="宋体" w:cs="宋体"/>
          <w:b/>
          <w:bCs/>
          <w:color w:val="000000"/>
          <w:kern w:val="0"/>
          <w:sz w:val="21"/>
          <w:szCs w:val="21"/>
          <w:highlight w:val="none"/>
          <w:lang w:val="en-US" w:eastAsia="zh-CN" w:bidi="ar"/>
        </w:rPr>
        <w:t xml:space="preserve"> </w:t>
      </w:r>
      <w:r>
        <w:rPr>
          <w:rFonts w:hint="eastAsia" w:ascii="宋体" w:hAnsi="宋体" w:eastAsia="宋体" w:cs="宋体"/>
          <w:color w:val="000000"/>
          <w:kern w:val="0"/>
          <w:sz w:val="21"/>
          <w:szCs w:val="21"/>
          <w:highlight w:val="none"/>
          <w:lang w:val="en-US" w:eastAsia="zh-CN" w:bidi="ar"/>
        </w:rPr>
        <w:t>因发票违规给付款方造成的增值税、所得税等损失，由开票方承担相关责任，包括但不限于税款、滞纳金、罚款及其它相关损失。</w:t>
      </w:r>
    </w:p>
    <w:p w14:paraId="0497352D">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cs="Times New Roman"/>
          <w:lang w:val="en-US" w:eastAsia="zh-CN"/>
        </w:rPr>
      </w:pPr>
      <w:r>
        <w:rPr>
          <w:rFonts w:hint="eastAsia" w:cs="Times New Roman"/>
          <w:lang w:val="en-US" w:eastAsia="zh-CN"/>
        </w:rPr>
        <w:t>8.付款方式和付款比例不允许偏离</w:t>
      </w:r>
    </w:p>
    <w:p w14:paraId="6E0D7439">
      <w:pPr>
        <w:pStyle w:val="27"/>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0" w:leftChars="0" w:firstLine="0" w:firstLineChars="0"/>
        <w:textAlignment w:val="auto"/>
        <w:rPr>
          <w:rFonts w:hint="eastAsia"/>
          <w:highlight w:val="none"/>
          <w:lang w:val="en-US" w:eastAsia="zh-CN"/>
        </w:rPr>
      </w:pPr>
      <w:r>
        <w:rPr>
          <w:rFonts w:hint="eastAsia" w:hAnsi="黑体" w:cstheme="minorBidi"/>
          <w:b/>
          <w:bCs/>
          <w:kern w:val="2"/>
          <w:sz w:val="28"/>
          <w:szCs w:val="28"/>
          <w:highlight w:val="none"/>
          <w:lang w:val="en-US" w:eastAsia="zh-CN" w:bidi="ar-SA"/>
        </w:rPr>
        <w:t>十二、</w:t>
      </w:r>
      <w:r>
        <w:rPr>
          <w:rFonts w:hint="eastAsia"/>
          <w:lang w:val="en-US" w:eastAsia="zh-CN"/>
        </w:rPr>
        <w:t>本次招标最终解释权归</w:t>
      </w:r>
      <w:r>
        <w:rPr>
          <w:rFonts w:hint="eastAsia"/>
          <w:highlight w:val="none"/>
          <w:lang w:val="en-US" w:eastAsia="zh-CN"/>
        </w:rPr>
        <w:t>中国重汽集团济南动力有限公司。</w:t>
      </w:r>
    </w:p>
    <w:p w14:paraId="39AA93F1">
      <w:pPr>
        <w:pStyle w:val="28"/>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rPr>
      </w:pPr>
    </w:p>
    <w:p w14:paraId="64A3F8CC">
      <w:pPr>
        <w:spacing w:line="460" w:lineRule="exact"/>
        <w:rPr>
          <w:rFonts w:hint="eastAsia" w:ascii="仿宋_GB2312" w:hAnsi="仿宋" w:eastAsia="仿宋_GB2312"/>
          <w:sz w:val="32"/>
          <w:szCs w:val="32"/>
          <w:highlight w:val="none"/>
        </w:rPr>
      </w:pPr>
    </w:p>
    <w:p w14:paraId="37724828">
      <w:pPr>
        <w:spacing w:line="460" w:lineRule="exact"/>
        <w:rPr>
          <w:rFonts w:hint="eastAsia" w:ascii="仿宋_GB2312" w:hAnsi="仿宋" w:eastAsia="仿宋_GB2312"/>
          <w:sz w:val="32"/>
          <w:szCs w:val="32"/>
          <w:highlight w:val="none"/>
        </w:rPr>
      </w:pPr>
    </w:p>
    <w:p w14:paraId="703C57A5">
      <w:pPr>
        <w:spacing w:line="460" w:lineRule="exact"/>
        <w:rPr>
          <w:rFonts w:hint="eastAsia" w:ascii="仿宋_GB2312" w:hAnsi="仿宋" w:eastAsia="仿宋_GB2312"/>
          <w:sz w:val="32"/>
          <w:szCs w:val="32"/>
          <w:highlight w:val="none"/>
        </w:rPr>
      </w:pPr>
    </w:p>
    <w:p w14:paraId="3E1A0760">
      <w:pPr>
        <w:spacing w:line="460" w:lineRule="exact"/>
        <w:rPr>
          <w:rFonts w:hint="eastAsia" w:ascii="仿宋_GB2312" w:hAnsi="仿宋" w:eastAsia="仿宋_GB2312"/>
          <w:sz w:val="32"/>
          <w:szCs w:val="32"/>
          <w:highlight w:val="none"/>
        </w:rPr>
      </w:pPr>
    </w:p>
    <w:p w14:paraId="348613A7">
      <w:pPr>
        <w:spacing w:line="460" w:lineRule="exact"/>
        <w:rPr>
          <w:rFonts w:hint="eastAsia" w:ascii="仿宋_GB2312" w:hAnsi="仿宋" w:eastAsia="仿宋_GB2312"/>
          <w:sz w:val="32"/>
          <w:szCs w:val="32"/>
          <w:highlight w:val="none"/>
        </w:rPr>
      </w:pPr>
    </w:p>
    <w:p w14:paraId="6143CA83">
      <w:pPr>
        <w:spacing w:line="460" w:lineRule="exact"/>
        <w:rPr>
          <w:rFonts w:hint="eastAsia" w:ascii="仿宋_GB2312" w:hAnsi="仿宋" w:eastAsia="仿宋_GB2312"/>
          <w:sz w:val="32"/>
          <w:szCs w:val="32"/>
          <w:highlight w:val="none"/>
        </w:rPr>
      </w:pPr>
    </w:p>
    <w:p w14:paraId="756275E8">
      <w:pPr>
        <w:spacing w:line="460" w:lineRule="exact"/>
        <w:rPr>
          <w:rFonts w:hint="eastAsia" w:ascii="仿宋_GB2312" w:hAnsi="仿宋" w:eastAsia="仿宋_GB2312"/>
          <w:sz w:val="32"/>
          <w:szCs w:val="32"/>
          <w:highlight w:val="none"/>
        </w:rPr>
      </w:pPr>
    </w:p>
    <w:p w14:paraId="3775AEA3">
      <w:pPr>
        <w:spacing w:line="460" w:lineRule="exact"/>
        <w:rPr>
          <w:rFonts w:hint="eastAsia" w:ascii="仿宋_GB2312" w:hAnsi="仿宋" w:eastAsia="仿宋_GB2312"/>
          <w:sz w:val="32"/>
          <w:szCs w:val="32"/>
          <w:highlight w:val="none"/>
        </w:rPr>
      </w:pPr>
    </w:p>
    <w:p w14:paraId="0F79EAFE">
      <w:pPr>
        <w:spacing w:line="460" w:lineRule="exact"/>
        <w:rPr>
          <w:rFonts w:hint="eastAsia" w:ascii="仿宋_GB2312" w:hAnsi="仿宋" w:eastAsia="仿宋_GB2312"/>
          <w:sz w:val="32"/>
          <w:szCs w:val="32"/>
          <w:highlight w:val="none"/>
        </w:rPr>
      </w:pPr>
    </w:p>
    <w:p w14:paraId="342E66A8">
      <w:pPr>
        <w:spacing w:line="460" w:lineRule="exact"/>
        <w:rPr>
          <w:rFonts w:hint="eastAsia" w:ascii="仿宋_GB2312" w:hAnsi="仿宋" w:eastAsia="仿宋_GB2312"/>
          <w:sz w:val="32"/>
          <w:szCs w:val="32"/>
          <w:highlight w:val="none"/>
        </w:rPr>
      </w:pPr>
    </w:p>
    <w:p w14:paraId="0A8976CB">
      <w:pPr>
        <w:spacing w:line="460" w:lineRule="exact"/>
        <w:rPr>
          <w:rFonts w:hint="eastAsia" w:ascii="仿宋_GB2312" w:hAnsi="仿宋" w:eastAsia="仿宋_GB2312"/>
          <w:sz w:val="32"/>
          <w:szCs w:val="32"/>
          <w:highlight w:val="none"/>
        </w:rPr>
      </w:pPr>
    </w:p>
    <w:p w14:paraId="59DE7AE1">
      <w:pPr>
        <w:spacing w:line="460" w:lineRule="exact"/>
        <w:rPr>
          <w:rFonts w:hint="eastAsia" w:ascii="仿宋_GB2312" w:hAnsi="仿宋" w:eastAsia="仿宋_GB2312"/>
          <w:sz w:val="32"/>
          <w:szCs w:val="32"/>
          <w:highlight w:val="none"/>
        </w:rPr>
      </w:pPr>
    </w:p>
    <w:p w14:paraId="17252B52">
      <w:pPr>
        <w:spacing w:line="460" w:lineRule="exact"/>
        <w:rPr>
          <w:rFonts w:hint="eastAsia" w:ascii="仿宋_GB2312" w:hAnsi="仿宋" w:eastAsia="仿宋_GB2312"/>
          <w:sz w:val="32"/>
          <w:szCs w:val="32"/>
          <w:highlight w:val="none"/>
        </w:rPr>
      </w:pPr>
    </w:p>
    <w:p w14:paraId="44E4F14B">
      <w:pPr>
        <w:spacing w:line="460" w:lineRule="exact"/>
        <w:rPr>
          <w:rFonts w:hint="eastAsia" w:ascii="仿宋_GB2312" w:hAnsi="仿宋" w:eastAsia="仿宋_GB2312"/>
          <w:sz w:val="32"/>
          <w:szCs w:val="32"/>
          <w:highlight w:val="none"/>
        </w:rPr>
      </w:pPr>
    </w:p>
    <w:p w14:paraId="48B68556">
      <w:pPr>
        <w:spacing w:line="460" w:lineRule="exact"/>
        <w:rPr>
          <w:rFonts w:hint="eastAsia" w:ascii="仿宋_GB2312" w:hAnsi="仿宋" w:eastAsia="仿宋_GB2312"/>
          <w:sz w:val="32"/>
          <w:szCs w:val="32"/>
          <w:highlight w:val="none"/>
        </w:rPr>
      </w:pPr>
    </w:p>
    <w:p w14:paraId="6C492D87">
      <w:pPr>
        <w:pStyle w:val="6"/>
        <w:numPr>
          <w:ilvl w:val="0"/>
          <w:numId w:val="17"/>
        </w:numPr>
        <w:jc w:val="center"/>
        <w:rPr>
          <w:rFonts w:hint="eastAsia" w:ascii="黑体" w:hAnsi="黑体" w:eastAsia="黑体" w:cs="黑体"/>
          <w:sz w:val="36"/>
          <w:szCs w:val="36"/>
          <w:lang w:val="en-US" w:eastAsia="zh-CN"/>
        </w:rPr>
      </w:pPr>
      <w:bookmarkStart w:id="7" w:name="_Toc16839"/>
      <w:r>
        <w:rPr>
          <w:rFonts w:hint="eastAsia" w:ascii="黑体" w:hAnsi="黑体" w:eastAsia="黑体" w:cs="黑体"/>
          <w:sz w:val="36"/>
          <w:szCs w:val="36"/>
          <w:lang w:val="en-US" w:eastAsia="zh-CN"/>
        </w:rPr>
        <w:t>技术标书</w:t>
      </w:r>
      <w:bookmarkEnd w:id="7"/>
      <w:bookmarkStart w:id="15" w:name="_GoBack"/>
      <w:bookmarkEnd w:id="15"/>
    </w:p>
    <w:p w14:paraId="433D4102">
      <w:pPr>
        <w:pStyle w:val="28"/>
        <w:rPr>
          <w:rFonts w:hint="eastAsia"/>
        </w:rPr>
      </w:pPr>
      <w:r>
        <w:rPr>
          <w:rFonts w:hint="eastAsia" w:ascii="黑体" w:hAnsi="黑体" w:eastAsia="黑体" w:cs="黑体"/>
          <w:b/>
          <w:bCs/>
          <w:sz w:val="28"/>
          <w:szCs w:val="28"/>
          <w:lang w:val="en-US" w:eastAsia="zh-CN"/>
        </w:rPr>
        <w:t>一．本项目主要采购《重型汽车报》，下附具体表单。</w:t>
      </w:r>
    </w:p>
    <w:tbl>
      <w:tblPr>
        <w:tblStyle w:val="12"/>
        <w:tblW w:w="89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6"/>
        <w:gridCol w:w="1153"/>
        <w:gridCol w:w="1142"/>
        <w:gridCol w:w="2209"/>
        <w:gridCol w:w="784"/>
        <w:gridCol w:w="777"/>
        <w:gridCol w:w="1001"/>
        <w:gridCol w:w="691"/>
        <w:gridCol w:w="691"/>
      </w:tblGrid>
      <w:tr w14:paraId="4C82A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blHeader/>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81DD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1153"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05EB0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1142"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26EBD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w:t>
            </w:r>
          </w:p>
        </w:tc>
        <w:tc>
          <w:tcPr>
            <w:tcW w:w="2209"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2E5E6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具体参数</w:t>
            </w:r>
          </w:p>
        </w:tc>
        <w:tc>
          <w:tcPr>
            <w:tcW w:w="784"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BF28496">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未税单价</w:t>
            </w:r>
            <w:r>
              <w:rPr>
                <w:rFonts w:hint="eastAsia" w:ascii="宋体" w:hAnsi="宋体" w:cs="宋体"/>
                <w:b/>
                <w:i w:val="0"/>
                <w:iCs w:val="0"/>
                <w:color w:val="000000"/>
                <w:kern w:val="0"/>
                <w:sz w:val="22"/>
                <w:szCs w:val="22"/>
                <w:u w:val="none"/>
                <w:lang w:val="en-US" w:eastAsia="zh-CN" w:bidi="ar"/>
              </w:rPr>
              <w:t>/元</w:t>
            </w:r>
          </w:p>
        </w:tc>
        <w:tc>
          <w:tcPr>
            <w:tcW w:w="777"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B1569E8">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含税单价</w:t>
            </w:r>
            <w:r>
              <w:rPr>
                <w:rFonts w:hint="eastAsia" w:ascii="宋体" w:hAnsi="宋体" w:cs="宋体"/>
                <w:b/>
                <w:i w:val="0"/>
                <w:iCs w:val="0"/>
                <w:color w:val="000000"/>
                <w:kern w:val="0"/>
                <w:sz w:val="22"/>
                <w:szCs w:val="22"/>
                <w:u w:val="none"/>
                <w:lang w:val="en-US" w:eastAsia="zh-CN" w:bidi="ar"/>
              </w:rPr>
              <w:t>/元</w:t>
            </w:r>
          </w:p>
        </w:tc>
        <w:tc>
          <w:tcPr>
            <w:tcW w:w="100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225C4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数量（份）</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9690E69">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未税总价</w:t>
            </w:r>
            <w:r>
              <w:rPr>
                <w:rFonts w:hint="eastAsia" w:ascii="宋体" w:hAnsi="宋体" w:cs="宋体"/>
                <w:b/>
                <w:i w:val="0"/>
                <w:iCs w:val="0"/>
                <w:color w:val="000000"/>
                <w:kern w:val="0"/>
                <w:sz w:val="22"/>
                <w:szCs w:val="22"/>
                <w:u w:val="none"/>
                <w:lang w:val="en-US" w:eastAsia="zh-CN" w:bidi="ar"/>
              </w:rPr>
              <w:t>/元</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9E747BB">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含税总价</w:t>
            </w:r>
            <w:r>
              <w:rPr>
                <w:rFonts w:hint="eastAsia" w:ascii="宋体" w:hAnsi="宋体" w:cs="宋体"/>
                <w:b/>
                <w:i w:val="0"/>
                <w:iCs w:val="0"/>
                <w:color w:val="000000"/>
                <w:kern w:val="0"/>
                <w:sz w:val="22"/>
                <w:szCs w:val="22"/>
                <w:u w:val="none"/>
                <w:lang w:val="en-US" w:eastAsia="zh-CN" w:bidi="ar"/>
              </w:rPr>
              <w:t>/元</w:t>
            </w:r>
          </w:p>
        </w:tc>
      </w:tr>
      <w:tr w14:paraId="4314A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blHeader/>
          <w:jc w:val="center"/>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D736014">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153"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7FE88C9">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142"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12830B6">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2209"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487FC5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（规格型号的描述）</w:t>
            </w:r>
          </w:p>
        </w:tc>
        <w:tc>
          <w:tcPr>
            <w:tcW w:w="784"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050E9C58">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777"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1D38F0F">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100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2456068">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33860742">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8CD7C82">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r>
      <w:tr w14:paraId="2DC94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DC584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1</w:t>
            </w:r>
          </w:p>
        </w:tc>
        <w:tc>
          <w:tcPr>
            <w:tcW w:w="1153"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CF6628C">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4"/>
                <w:u w:val="none"/>
                <w:lang w:val="en-US" w:eastAsia="zh-CN"/>
              </w:rPr>
            </w:pPr>
            <w:r>
              <w:rPr>
                <w:rFonts w:hint="eastAsia" w:ascii="宋体" w:hAnsi="宋体" w:cs="宋体"/>
                <w:i w:val="0"/>
                <w:iCs w:val="0"/>
                <w:color w:val="000000"/>
                <w:sz w:val="21"/>
                <w:szCs w:val="24"/>
                <w:u w:val="none"/>
                <w:lang w:val="en-US" w:eastAsia="zh-CN"/>
              </w:rPr>
              <w:t>报纸印刷</w:t>
            </w:r>
          </w:p>
        </w:tc>
        <w:tc>
          <w:tcPr>
            <w:tcW w:w="1142"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113D9072">
            <w:pPr>
              <w:keepNext w:val="0"/>
              <w:keepLines w:val="0"/>
              <w:widowControl/>
              <w:suppressLineNumbers w:val="0"/>
              <w:snapToGrid w:val="0"/>
              <w:ind w:left="0" w:leftChars="0" w:right="0" w:rightChars="0" w:firstLine="0" w:firstLineChars="0"/>
              <w:jc w:val="left"/>
              <w:textAlignment w:val="center"/>
              <w:rPr>
                <w:rFonts w:hint="default"/>
                <w:lang w:val="en-US" w:eastAsia="zh-CN"/>
              </w:rPr>
            </w:pPr>
            <w:r>
              <w:rPr>
                <w:rFonts w:hint="eastAsia" w:ascii="宋体" w:hAnsi="宋体" w:cs="宋体"/>
                <w:i w:val="0"/>
                <w:iCs w:val="0"/>
                <w:color w:val="000000"/>
                <w:sz w:val="21"/>
                <w:szCs w:val="24"/>
                <w:u w:val="none"/>
                <w:lang w:val="en-US" w:eastAsia="zh-CN"/>
              </w:rPr>
              <w:t>对开4</w:t>
            </w:r>
            <w:r>
              <w:rPr>
                <w:rFonts w:hint="eastAsia" w:ascii="宋体" w:hAnsi="宋体" w:eastAsia="宋体" w:cs="宋体"/>
                <w:b w:val="0"/>
                <w:i w:val="0"/>
                <w:iCs w:val="0"/>
                <w:caps w:val="0"/>
                <w:color w:val="000000"/>
                <w:kern w:val="2"/>
                <w:sz w:val="21"/>
                <w:szCs w:val="24"/>
                <w:u w:val="none"/>
                <w:lang w:val="en-US" w:eastAsia="zh-CN" w:bidi="ar-SA"/>
              </w:rPr>
              <w:t>版</w:t>
            </w:r>
          </w:p>
        </w:tc>
        <w:tc>
          <w:tcPr>
            <w:tcW w:w="2209"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6EF0834">
            <w:pPr>
              <w:keepNext w:val="0"/>
              <w:keepLines w:val="0"/>
              <w:widowControl/>
              <w:suppressLineNumbers w:val="0"/>
              <w:snapToGrid w:val="0"/>
              <w:ind w:left="0" w:leftChars="0" w:right="0" w:rightChars="0" w:firstLine="0" w:firstLineChars="0"/>
              <w:jc w:val="left"/>
              <w:textAlignment w:val="center"/>
              <w:rPr>
                <w:rFonts w:hint="default"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周报</w:t>
            </w:r>
          </w:p>
          <w:p w14:paraId="6F2CBE34">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每期11784份</w:t>
            </w:r>
          </w:p>
          <w:p w14:paraId="775E7F73">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1"/>
                <w:szCs w:val="22"/>
                <w:u w:val="none"/>
                <w:lang w:val="en-US" w:eastAsia="zh-CN"/>
              </w:rPr>
            </w:pPr>
            <w:r>
              <w:rPr>
                <w:rFonts w:hint="eastAsia" w:ascii="宋体" w:hAnsi="宋体" w:cs="宋体"/>
                <w:i w:val="0"/>
                <w:iCs w:val="0"/>
                <w:color w:val="000000"/>
                <w:sz w:val="21"/>
                <w:szCs w:val="22"/>
                <w:u w:val="none"/>
                <w:lang w:val="en-US" w:eastAsia="zh-CN"/>
              </w:rPr>
              <w:t>每年52期（据实结算）</w:t>
            </w:r>
          </w:p>
        </w:tc>
        <w:tc>
          <w:tcPr>
            <w:tcW w:w="784"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BB0C04F">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777"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67C20205">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1001" w:type="dxa"/>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7BE5B32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1"/>
                <w:szCs w:val="22"/>
                <w:u w:val="none"/>
                <w:lang w:val="en-US"/>
              </w:rPr>
            </w:pPr>
            <w:r>
              <w:rPr>
                <w:rFonts w:hint="eastAsia" w:ascii="宋体" w:hAnsi="宋体" w:cs="宋体"/>
                <w:i w:val="0"/>
                <w:iCs w:val="0"/>
                <w:color w:val="000000"/>
                <w:kern w:val="0"/>
                <w:sz w:val="21"/>
                <w:szCs w:val="22"/>
                <w:u w:val="none"/>
                <w:lang w:val="en-US" w:eastAsia="zh-CN" w:bidi="ar"/>
              </w:rPr>
              <w:t>612768</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594DEE3B">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0"/>
            <w:tcMar>
              <w:top w:w="-1" w:type="dxa"/>
              <w:left w:w="-1" w:type="dxa"/>
              <w:bottom w:w="-1" w:type="dxa"/>
              <w:right w:w="-1" w:type="dxa"/>
            </w:tcMar>
            <w:vAlign w:val="center"/>
          </w:tcPr>
          <w:p w14:paraId="275DC993">
            <w:pPr>
              <w:snapToGrid w:val="0"/>
              <w:ind w:left="0" w:leftChars="0" w:right="0" w:rightChars="0" w:firstLine="0" w:firstLineChars="0"/>
              <w:jc w:val="right"/>
              <w:rPr>
                <w:rFonts w:hint="eastAsia" w:ascii="宋体" w:hAnsi="宋体" w:eastAsia="宋体" w:cs="宋体"/>
                <w:i w:val="0"/>
                <w:iCs w:val="0"/>
                <w:color w:val="000000"/>
                <w:sz w:val="21"/>
                <w:szCs w:val="22"/>
                <w:u w:val="none"/>
              </w:rPr>
            </w:pPr>
          </w:p>
        </w:tc>
      </w:tr>
    </w:tbl>
    <w:p w14:paraId="79173BFD">
      <w:pPr>
        <w:spacing w:line="460" w:lineRule="exact"/>
        <w:rPr>
          <w:rFonts w:hint="eastAsia" w:ascii="仿宋_GB2312" w:hAnsi="仿宋" w:eastAsia="仿宋_GB2312"/>
          <w:sz w:val="32"/>
          <w:szCs w:val="32"/>
          <w:highlight w:val="none"/>
        </w:rPr>
      </w:pPr>
    </w:p>
    <w:p w14:paraId="4E48010E">
      <w:pPr>
        <w:keepNext w:val="0"/>
        <w:keepLines w:val="0"/>
        <w:pageBreakBefore w:val="0"/>
        <w:widowControl w:val="0"/>
        <w:kinsoku/>
        <w:wordWrap/>
        <w:overflowPunct/>
        <w:topLinePunct w:val="0"/>
        <w:autoSpaceDE/>
        <w:autoSpaceDN/>
        <w:bidi w:val="0"/>
        <w:adjustRightInd/>
        <w:snapToGrid/>
        <w:spacing w:line="500" w:lineRule="exact"/>
        <w:textAlignment w:val="auto"/>
        <w:outlineLvl w:val="1"/>
        <w:rPr>
          <w:rFonts w:ascii="黑体" w:hAnsi="黑体" w:eastAsia="黑体"/>
          <w:b/>
          <w:bCs/>
          <w:sz w:val="28"/>
          <w:szCs w:val="28"/>
          <w:highlight w:val="none"/>
        </w:rPr>
      </w:pPr>
      <w:bookmarkStart w:id="8" w:name="_Toc47976609"/>
      <w:r>
        <w:rPr>
          <w:rFonts w:hint="eastAsia" w:ascii="黑体" w:hAnsi="黑体" w:eastAsia="黑体" w:cstheme="minorBidi"/>
          <w:b/>
          <w:bCs/>
          <w:sz w:val="28"/>
          <w:szCs w:val="28"/>
          <w:highlight w:val="none"/>
          <w:lang w:val="en-US" w:eastAsia="zh-CN"/>
        </w:rPr>
        <w:t>二</w:t>
      </w:r>
      <w:r>
        <w:rPr>
          <w:rFonts w:hint="eastAsia" w:ascii="黑体" w:hAnsi="黑体" w:eastAsia="黑体" w:cstheme="minorBidi"/>
          <w:b/>
          <w:bCs/>
          <w:sz w:val="28"/>
          <w:szCs w:val="28"/>
          <w:highlight w:val="none"/>
        </w:rPr>
        <w:t>、</w:t>
      </w:r>
      <w:r>
        <w:rPr>
          <w:rFonts w:hint="eastAsia" w:ascii="黑体" w:hAnsi="黑体" w:eastAsia="黑体" w:cstheme="minorBidi"/>
          <w:b/>
          <w:bCs/>
          <w:sz w:val="28"/>
          <w:szCs w:val="28"/>
          <w:highlight w:val="none"/>
          <w:lang w:val="en-US" w:eastAsia="zh-CN"/>
        </w:rPr>
        <w:t>相关</w:t>
      </w:r>
      <w:r>
        <w:rPr>
          <w:rFonts w:hint="eastAsia" w:ascii="黑体" w:hAnsi="黑体" w:eastAsia="黑体" w:cstheme="minorBidi"/>
          <w:b/>
          <w:bCs/>
          <w:sz w:val="28"/>
          <w:szCs w:val="28"/>
          <w:highlight w:val="none"/>
        </w:rPr>
        <w:t>要求</w:t>
      </w:r>
    </w:p>
    <w:p w14:paraId="3BA39616">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eastAsia="宋体"/>
          <w:sz w:val="24"/>
          <w:szCs w:val="24"/>
          <w:highlight w:val="none"/>
        </w:rPr>
      </w:pPr>
      <w:r>
        <w:rPr>
          <w:rFonts w:hint="eastAsia" w:ascii="宋体" w:hAnsi="Courier New" w:eastAsia="宋体"/>
          <w:highlight w:val="none"/>
          <w:lang w:eastAsia="zh-CN"/>
        </w:rPr>
        <w:t>（</w:t>
      </w:r>
      <w:r>
        <w:rPr>
          <w:rFonts w:hint="eastAsia" w:ascii="宋体" w:hAnsi="Courier New" w:eastAsia="宋体"/>
          <w:sz w:val="24"/>
          <w:szCs w:val="24"/>
          <w:highlight w:val="none"/>
          <w:lang w:val="en-US" w:eastAsia="zh-CN"/>
        </w:rPr>
        <w:t>1</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卖方提供的货物涉及的所有售后服务均由卖方负责。如果发生问题并且收到通知，卖方应当在2小时内予以答复。</w:t>
      </w:r>
    </w:p>
    <w:p w14:paraId="36EE35E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eastAsia="宋体"/>
          <w:sz w:val="24"/>
          <w:szCs w:val="24"/>
          <w:highlight w:val="none"/>
        </w:rPr>
      </w:pPr>
      <w:r>
        <w:rPr>
          <w:rFonts w:hint="eastAsia" w:ascii="宋体" w:hAnsi="Courier New" w:eastAsia="宋体"/>
          <w:sz w:val="24"/>
          <w:szCs w:val="24"/>
          <w:highlight w:val="none"/>
          <w:lang w:eastAsia="zh-CN"/>
        </w:rPr>
        <w:t>（</w:t>
      </w:r>
      <w:r>
        <w:rPr>
          <w:rFonts w:hint="eastAsia" w:ascii="宋体" w:hAnsi="Courier New" w:eastAsia="宋体"/>
          <w:sz w:val="24"/>
          <w:szCs w:val="24"/>
          <w:highlight w:val="none"/>
          <w:lang w:val="en-US" w:eastAsia="zh-CN"/>
        </w:rPr>
        <w:t>2</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如发现所提供的货物存在问题，需要卖方解决或配合解决时：在质保期之内，应在接到通知后</w:t>
      </w:r>
      <w:r>
        <w:rPr>
          <w:rFonts w:hint="eastAsia" w:ascii="宋体" w:hAnsi="Courier New" w:eastAsia="宋体"/>
          <w:sz w:val="24"/>
          <w:szCs w:val="24"/>
          <w:highlight w:val="none"/>
          <w:lang w:val="en-US" w:eastAsia="zh-CN"/>
        </w:rPr>
        <w:t>24</w:t>
      </w:r>
      <w:r>
        <w:rPr>
          <w:rFonts w:hint="eastAsia" w:ascii="宋体" w:hAnsi="Courier New" w:eastAsia="宋体"/>
          <w:sz w:val="24"/>
          <w:szCs w:val="24"/>
          <w:highlight w:val="none"/>
        </w:rPr>
        <w:t>小时内派有关人员到达现场；在质保期之外，应在接到通知后</w:t>
      </w:r>
      <w:r>
        <w:rPr>
          <w:rFonts w:hint="eastAsia" w:ascii="宋体" w:hAnsi="Courier New" w:eastAsia="宋体"/>
          <w:sz w:val="24"/>
          <w:szCs w:val="24"/>
          <w:highlight w:val="none"/>
          <w:lang w:val="en-US" w:eastAsia="zh-CN"/>
        </w:rPr>
        <w:t>72</w:t>
      </w:r>
      <w:r>
        <w:rPr>
          <w:rFonts w:hint="eastAsia" w:ascii="宋体" w:hAnsi="Courier New" w:eastAsia="宋体"/>
          <w:sz w:val="24"/>
          <w:szCs w:val="24"/>
          <w:highlight w:val="none"/>
        </w:rPr>
        <w:t>小时内派有关人员到达现场。</w:t>
      </w:r>
    </w:p>
    <w:p w14:paraId="6F8D7EA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eastAsia="宋体"/>
          <w:sz w:val="24"/>
          <w:szCs w:val="24"/>
          <w:highlight w:val="none"/>
        </w:rPr>
      </w:pPr>
      <w:r>
        <w:rPr>
          <w:rFonts w:hint="eastAsia" w:ascii="宋体" w:hAnsi="Courier New" w:eastAsia="宋体"/>
          <w:sz w:val="24"/>
          <w:szCs w:val="24"/>
          <w:highlight w:val="none"/>
          <w:lang w:eastAsia="zh-CN"/>
        </w:rPr>
        <w:t>（</w:t>
      </w:r>
      <w:r>
        <w:rPr>
          <w:rFonts w:hint="eastAsia" w:ascii="宋体" w:hAnsi="Courier New" w:eastAsia="宋体"/>
          <w:sz w:val="24"/>
          <w:szCs w:val="24"/>
          <w:highlight w:val="none"/>
          <w:lang w:val="en-US" w:eastAsia="zh-CN"/>
        </w:rPr>
        <w:t>3</w:t>
      </w:r>
      <w:r>
        <w:rPr>
          <w:rFonts w:hint="eastAsia" w:ascii="宋体" w:hAnsi="Courier New" w:eastAsia="宋体"/>
          <w:sz w:val="24"/>
          <w:szCs w:val="24"/>
          <w:highlight w:val="none"/>
          <w:lang w:eastAsia="zh-CN"/>
        </w:rPr>
        <w:t>）</w:t>
      </w:r>
      <w:r>
        <w:rPr>
          <w:rFonts w:hint="eastAsia" w:ascii="宋体" w:hAnsi="Courier New" w:eastAsia="宋体"/>
          <w:sz w:val="24"/>
          <w:szCs w:val="24"/>
          <w:highlight w:val="none"/>
        </w:rPr>
        <w:t>卖方派往买方使用现场的人员，应具有较高的业务素质；现场解决问题时，不得无故拖延或推迟，应为买方提供最佳的服务。</w:t>
      </w:r>
    </w:p>
    <w:p w14:paraId="547BC8E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Courier New"/>
          <w:sz w:val="24"/>
          <w:szCs w:val="24"/>
          <w:highlight w:val="none"/>
        </w:rPr>
      </w:pPr>
      <w:r>
        <w:rPr>
          <w:rFonts w:hint="eastAsia" w:ascii="宋体" w:hAnsi="Courier New"/>
          <w:sz w:val="24"/>
          <w:szCs w:val="24"/>
          <w:highlight w:val="none"/>
        </w:rPr>
        <w:t>（</w:t>
      </w:r>
      <w:r>
        <w:rPr>
          <w:rFonts w:hint="eastAsia" w:ascii="宋体" w:hAnsi="Courier New"/>
          <w:sz w:val="24"/>
          <w:szCs w:val="24"/>
          <w:highlight w:val="none"/>
          <w:lang w:val="en-US" w:eastAsia="zh-CN"/>
        </w:rPr>
        <w:t>4</w:t>
      </w:r>
      <w:r>
        <w:rPr>
          <w:rFonts w:hint="eastAsia" w:ascii="宋体" w:hAnsi="Courier New"/>
          <w:sz w:val="24"/>
          <w:szCs w:val="24"/>
          <w:highlight w:val="none"/>
        </w:rPr>
        <w:t>）未尽事宜本着友好协商原则办理。</w:t>
      </w:r>
    </w:p>
    <w:p w14:paraId="0B1D6EC2">
      <w:pPr>
        <w:pStyle w:val="6"/>
        <w:rPr>
          <w:rFonts w:hint="eastAsia"/>
        </w:rPr>
      </w:pPr>
    </w:p>
    <w:p w14:paraId="5AB8E088">
      <w:pPr>
        <w:pStyle w:val="6"/>
        <w:rPr>
          <w:rFonts w:hint="eastAsia"/>
        </w:rPr>
      </w:pPr>
    </w:p>
    <w:p w14:paraId="791E8566">
      <w:pPr>
        <w:pStyle w:val="6"/>
        <w:rPr>
          <w:rFonts w:hint="eastAsia"/>
        </w:rPr>
      </w:pPr>
    </w:p>
    <w:p w14:paraId="323A8FF5">
      <w:pPr>
        <w:pStyle w:val="6"/>
        <w:rPr>
          <w:rFonts w:hint="eastAsia"/>
        </w:rPr>
      </w:pPr>
    </w:p>
    <w:p w14:paraId="7678697E">
      <w:pPr>
        <w:pStyle w:val="6"/>
        <w:rPr>
          <w:rFonts w:hint="eastAsia"/>
        </w:rPr>
      </w:pPr>
    </w:p>
    <w:p w14:paraId="5E029CA3">
      <w:pPr>
        <w:pStyle w:val="6"/>
        <w:rPr>
          <w:rFonts w:hint="eastAsia"/>
        </w:rPr>
      </w:pPr>
    </w:p>
    <w:p w14:paraId="49FCF25A">
      <w:pPr>
        <w:pStyle w:val="6"/>
        <w:rPr>
          <w:rFonts w:hint="eastAsia"/>
        </w:rPr>
      </w:pPr>
    </w:p>
    <w:p w14:paraId="44145993">
      <w:pPr>
        <w:pStyle w:val="6"/>
        <w:rPr>
          <w:rFonts w:hint="eastAsia"/>
        </w:rPr>
      </w:pPr>
    </w:p>
    <w:p w14:paraId="1A4A673E">
      <w:pPr>
        <w:pStyle w:val="6"/>
        <w:rPr>
          <w:rFonts w:hint="eastAsia"/>
        </w:rPr>
      </w:pPr>
    </w:p>
    <w:p w14:paraId="523E1EBD">
      <w:pPr>
        <w:pStyle w:val="6"/>
        <w:rPr>
          <w:rFonts w:hint="eastAsia"/>
        </w:rPr>
      </w:pPr>
    </w:p>
    <w:p w14:paraId="0E3885EE">
      <w:pPr>
        <w:rPr>
          <w:rFonts w:hint="eastAsia"/>
        </w:rPr>
      </w:pPr>
    </w:p>
    <w:p w14:paraId="5871DF53">
      <w:pPr>
        <w:pStyle w:val="33"/>
        <w:numPr>
          <w:ilvl w:val="0"/>
          <w:numId w:val="18"/>
        </w:numPr>
        <w:rPr>
          <w:rFonts w:hint="eastAsia"/>
        </w:rPr>
      </w:pPr>
      <w:bookmarkStart w:id="9" w:name="_Toc8030"/>
      <w:r>
        <w:rPr>
          <w:rFonts w:hint="eastAsia"/>
        </w:rPr>
        <w:t>合同主要条款</w:t>
      </w:r>
      <w:bookmarkEnd w:id="8"/>
      <w:bookmarkEnd w:id="9"/>
    </w:p>
    <w:p w14:paraId="56105630">
      <w:pPr>
        <w:wordWrap w:val="0"/>
        <w:adjustRightInd w:val="0"/>
        <w:snapToGrid w:val="0"/>
        <w:spacing w:line="360" w:lineRule="auto"/>
        <w:jc w:val="right"/>
        <w:rPr>
          <w:rFonts w:ascii="宋体" w:hAnsi="宋体"/>
          <w:b/>
          <w:sz w:val="28"/>
          <w:szCs w:val="28"/>
        </w:rPr>
      </w:pPr>
    </w:p>
    <w:p w14:paraId="23914DBE">
      <w:pPr>
        <w:pStyle w:val="27"/>
        <w:numPr>
          <w:ilvl w:val="0"/>
          <w:numId w:val="19"/>
        </w:numPr>
        <w:ind w:left="420"/>
      </w:pPr>
      <w:bookmarkStart w:id="10" w:name="_Toc47976610"/>
      <w:r>
        <w:rPr>
          <w:rFonts w:hint="eastAsia"/>
          <w:lang w:val="en-US" w:eastAsia="zh-CN"/>
        </w:rPr>
        <w:t>标的、数量、</w:t>
      </w:r>
      <w:r>
        <w:rPr>
          <w:rFonts w:hint="eastAsia"/>
        </w:rPr>
        <w:t>交货期</w:t>
      </w:r>
      <w:bookmarkEnd w:id="10"/>
    </w:p>
    <w:p w14:paraId="18603CA8">
      <w:pPr>
        <w:pStyle w:val="27"/>
      </w:pPr>
      <w:bookmarkStart w:id="11" w:name="_Toc47976611"/>
      <w:r>
        <w:rPr>
          <w:rFonts w:hint="eastAsia"/>
        </w:rPr>
        <w:t>交货地点</w:t>
      </w:r>
      <w:bookmarkEnd w:id="11"/>
    </w:p>
    <w:p w14:paraId="3F03A936">
      <w:pPr>
        <w:pStyle w:val="27"/>
      </w:pPr>
      <w:bookmarkStart w:id="12" w:name="_Toc47976612"/>
      <w:r>
        <w:rPr>
          <w:rFonts w:hint="eastAsia"/>
          <w:lang w:val="en-US" w:eastAsia="zh-CN"/>
        </w:rPr>
        <w:t>价款及</w:t>
      </w:r>
      <w:r>
        <w:rPr>
          <w:rFonts w:hint="eastAsia"/>
        </w:rPr>
        <w:t>付款方式</w:t>
      </w:r>
      <w:bookmarkEnd w:id="12"/>
    </w:p>
    <w:p w14:paraId="0A7F4E98">
      <w:pPr>
        <w:pStyle w:val="27"/>
      </w:pPr>
      <w:bookmarkStart w:id="13" w:name="_Toc47976613"/>
      <w:r>
        <w:rPr>
          <w:rFonts w:hint="eastAsia"/>
          <w:lang w:val="en-US" w:eastAsia="zh-CN"/>
        </w:rPr>
        <w:t>质量要求、</w:t>
      </w:r>
      <w:r>
        <w:rPr>
          <w:rFonts w:hint="eastAsia"/>
        </w:rPr>
        <w:t>保修期及售后服务</w:t>
      </w:r>
      <w:bookmarkEnd w:id="13"/>
    </w:p>
    <w:p w14:paraId="50F6C5C1">
      <w:pPr>
        <w:pStyle w:val="27"/>
      </w:pPr>
      <w:bookmarkStart w:id="14" w:name="_Toc47976614"/>
      <w:r>
        <w:rPr>
          <w:rFonts w:hint="eastAsia"/>
        </w:rPr>
        <w:t>安装、调试及验收要求</w:t>
      </w:r>
      <w:bookmarkEnd w:id="14"/>
    </w:p>
    <w:p w14:paraId="7FDA440C">
      <w:pPr>
        <w:pStyle w:val="27"/>
      </w:pPr>
      <w:r>
        <w:rPr>
          <w:rFonts w:hint="eastAsia"/>
          <w:lang w:val="en-US" w:eastAsia="zh-CN"/>
        </w:rPr>
        <w:t>违约责任</w:t>
      </w:r>
    </w:p>
    <w:p w14:paraId="7B4D50AD">
      <w:pPr>
        <w:pStyle w:val="27"/>
      </w:pPr>
      <w:r>
        <w:rPr>
          <w:rFonts w:hint="eastAsia"/>
          <w:lang w:val="en-US" w:eastAsia="zh-CN"/>
        </w:rPr>
        <w:t>争议解决方式</w:t>
      </w:r>
    </w:p>
    <w:p w14:paraId="504FA1DC">
      <w:pPr>
        <w:rPr>
          <w:rFonts w:hint="eastAsia"/>
        </w:rPr>
      </w:pPr>
    </w:p>
    <w:p w14:paraId="70A8F48F">
      <w:pPr>
        <w:rPr>
          <w:rFonts w:hint="eastAsia" w:ascii="仿宋_GB2312" w:hAnsi="仿宋" w:eastAsia="仿宋_GB2312"/>
          <w:sz w:val="32"/>
          <w:szCs w:val="32"/>
          <w:highlight w:val="none"/>
        </w:rPr>
      </w:pPr>
      <w:r>
        <w:rPr>
          <w:rFonts w:hint="eastAsia"/>
        </w:rPr>
        <w:br w:type="page"/>
      </w:r>
    </w:p>
    <w:p w14:paraId="68179198">
      <w:pPr>
        <w:rPr>
          <w:rFonts w:hint="eastAsia"/>
        </w:rPr>
      </w:pPr>
    </w:p>
    <w:p w14:paraId="6A3824D2">
      <w:pPr>
        <w:spacing w:line="460" w:lineRule="exact"/>
        <w:rPr>
          <w:rFonts w:hint="eastAsia" w:ascii="仿宋_GB2312" w:hAnsi="仿宋" w:eastAsia="仿宋_GB2312"/>
          <w:sz w:val="32"/>
          <w:szCs w:val="32"/>
          <w:highlight w:val="none"/>
        </w:rPr>
      </w:pPr>
      <w:r>
        <w:rPr>
          <w:rFonts w:hint="eastAsia" w:ascii="仿宋_GB2312" w:hAnsi="仿宋" w:eastAsia="仿宋_GB2312"/>
          <w:sz w:val="32"/>
          <w:szCs w:val="32"/>
          <w:highlight w:val="none"/>
        </w:rPr>
        <w:t>附件：授权书</w:t>
      </w:r>
    </w:p>
    <w:p w14:paraId="1A0F0169">
      <w:pPr>
        <w:pStyle w:val="2"/>
        <w:rPr>
          <w:rFonts w:hint="eastAsia"/>
        </w:rPr>
      </w:pPr>
    </w:p>
    <w:p w14:paraId="0EE3C74A">
      <w:pPr>
        <w:keepNext/>
        <w:keepLines/>
        <w:outlineLvl w:val="2"/>
        <w:rPr>
          <w:rFonts w:hint="default"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color w:val="000000"/>
          <w:sz w:val="24"/>
          <w:szCs w:val="24"/>
          <w:highlight w:val="none"/>
        </w:rPr>
        <w:t>附件</w:t>
      </w:r>
      <w:r>
        <w:rPr>
          <w:rFonts w:hint="eastAsia" w:ascii="Times New Roman" w:hAnsi="Times New Roman" w:eastAsia="宋体" w:cs="Times New Roman"/>
          <w:b/>
          <w:bCs/>
          <w:color w:val="000000"/>
          <w:sz w:val="24"/>
          <w:szCs w:val="24"/>
          <w:highlight w:val="none"/>
          <w:lang w:val="en-US" w:eastAsia="zh-CN"/>
        </w:rPr>
        <w:t>1投标函</w:t>
      </w:r>
    </w:p>
    <w:p w14:paraId="6E4B2977">
      <w:pPr>
        <w:spacing w:after="156" w:afterLines="50" w:line="240" w:lineRule="auto"/>
        <w:jc w:val="left"/>
        <w:rPr>
          <w:rFonts w:hint="eastAsia" w:ascii="楷体" w:hAnsi="楷体" w:eastAsia="楷体"/>
          <w:sz w:val="28"/>
          <w:szCs w:val="28"/>
          <w:highlight w:val="none"/>
        </w:rPr>
      </w:pPr>
      <w:r>
        <w:rPr>
          <w:rFonts w:hint="eastAsia" w:ascii="楷体" w:hAnsi="楷体" w:eastAsia="楷体"/>
          <w:sz w:val="28"/>
          <w:szCs w:val="28"/>
          <w:highlight w:val="none"/>
        </w:rPr>
        <w:t>授权单位</w:t>
      </w:r>
    </w:p>
    <w:p w14:paraId="13327311">
      <w:pPr>
        <w:spacing w:after="156" w:afterLines="50" w:line="240" w:lineRule="auto"/>
        <w:jc w:val="left"/>
        <w:rPr>
          <w:rFonts w:ascii="楷体" w:hAnsi="楷体" w:eastAsia="楷体"/>
          <w:sz w:val="28"/>
          <w:szCs w:val="28"/>
          <w:highlight w:val="none"/>
        </w:rPr>
      </w:pPr>
      <w:r>
        <w:rPr>
          <w:rFonts w:hint="eastAsia" w:ascii="楷体" w:hAnsi="楷体" w:eastAsia="楷体"/>
          <w:sz w:val="28"/>
          <w:szCs w:val="28"/>
          <w:highlight w:val="none"/>
        </w:rPr>
        <w:t>法定代表人：</w:t>
      </w:r>
    </w:p>
    <w:p w14:paraId="6AC717F4">
      <w:pPr>
        <w:spacing w:after="156" w:afterLines="50"/>
        <w:ind w:firstLine="4480" w:firstLineChars="1600"/>
        <w:jc w:val="left"/>
        <w:rPr>
          <w:rFonts w:hint="eastAsia" w:ascii="楷体" w:hAnsi="楷体" w:eastAsia="楷体"/>
          <w:sz w:val="28"/>
          <w:szCs w:val="28"/>
          <w:highlight w:val="none"/>
        </w:rPr>
      </w:pPr>
      <w:r>
        <w:rPr>
          <w:rFonts w:hint="eastAsia" w:ascii="楷体" w:hAnsi="楷体" w:eastAsia="楷体"/>
          <w:sz w:val="28"/>
          <w:szCs w:val="28"/>
          <w:highlight w:val="none"/>
          <w:u w:val="single"/>
        </w:rPr>
        <w:t xml:space="preserve">   </w:t>
      </w:r>
      <w:r>
        <w:rPr>
          <w:rFonts w:hint="eastAsia" w:ascii="楷体" w:hAnsi="楷体" w:eastAsia="楷体"/>
          <w:sz w:val="28"/>
          <w:szCs w:val="28"/>
          <w:highlight w:val="none"/>
        </w:rPr>
        <w:t>年</w:t>
      </w:r>
      <w:r>
        <w:rPr>
          <w:rFonts w:hint="eastAsia" w:ascii="楷体" w:hAnsi="楷体" w:eastAsia="楷体"/>
          <w:sz w:val="28"/>
          <w:szCs w:val="28"/>
          <w:highlight w:val="none"/>
          <w:u w:val="single"/>
        </w:rPr>
        <w:t xml:space="preserve">   </w:t>
      </w:r>
      <w:r>
        <w:rPr>
          <w:rFonts w:hint="eastAsia" w:ascii="楷体" w:hAnsi="楷体" w:eastAsia="楷体"/>
          <w:sz w:val="28"/>
          <w:szCs w:val="28"/>
          <w:highlight w:val="none"/>
        </w:rPr>
        <w:t>月</w:t>
      </w:r>
      <w:r>
        <w:rPr>
          <w:rFonts w:hint="eastAsia" w:ascii="楷体" w:hAnsi="楷体" w:eastAsia="楷体"/>
          <w:sz w:val="28"/>
          <w:szCs w:val="28"/>
          <w:highlight w:val="none"/>
          <w:u w:val="single"/>
        </w:rPr>
        <w:t xml:space="preserve">   </w:t>
      </w:r>
      <w:r>
        <w:rPr>
          <w:rFonts w:hint="eastAsia" w:ascii="楷体" w:hAnsi="楷体" w:eastAsia="楷体"/>
          <w:sz w:val="28"/>
          <w:szCs w:val="28"/>
          <w:highlight w:val="none"/>
        </w:rPr>
        <w:t>日</w:t>
      </w:r>
    </w:p>
    <w:p w14:paraId="1874C404">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致：中国重汽集团济南动力有限公司：</w:t>
      </w:r>
    </w:p>
    <w:p w14:paraId="52ECE211">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b/>
          <w:color w:val="000000"/>
          <w:sz w:val="24"/>
          <w:szCs w:val="24"/>
          <w:highlight w:val="none"/>
          <w:u w:val="single"/>
        </w:rPr>
        <w:t>《重型汽车报》2027年印刷项目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提交纸质投标文件：资质证明文件、商务文件和技术文件正本一份；电子版投标文件一份。</w:t>
      </w:r>
    </w:p>
    <w:p w14:paraId="20E1E56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7C8A962F">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6EBE3B71">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4E0D2589">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1EE4DBE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2339476B">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18053E6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07531FA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138D732C">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34033519">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电话（请填写手机号码）：</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 xml:space="preserve"> 传真：</w:t>
      </w:r>
      <w:r>
        <w:rPr>
          <w:rFonts w:ascii="宋体" w:hAnsi="宋体" w:eastAsia="宋体" w:cs="Times New Roman"/>
          <w:color w:val="000000"/>
          <w:sz w:val="24"/>
          <w:szCs w:val="24"/>
          <w:highlight w:val="none"/>
        </w:rPr>
        <w:t xml:space="preserve">                   </w:t>
      </w:r>
    </w:p>
    <w:p w14:paraId="5B474CA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hint="eastAsia"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p w14:paraId="5CDD6252">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0C316955">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43C5D40B">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1F6C6FE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39D497BB">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2A4579CC">
      <w:pPr>
        <w:rPr>
          <w:rFonts w:ascii="黑体" w:hAnsi="Calibri" w:eastAsia="黑体" w:cs="Times New Roman"/>
          <w:color w:val="000000"/>
          <w:sz w:val="24"/>
          <w:szCs w:val="24"/>
          <w:highlight w:val="none"/>
        </w:rPr>
      </w:pPr>
    </w:p>
    <w:p w14:paraId="266C609C">
      <w:pPr>
        <w:rPr>
          <w:rFonts w:ascii="黑体" w:hAnsi="Calibri" w:eastAsia="黑体" w:cs="Times New Roman"/>
          <w:color w:val="000000"/>
          <w:sz w:val="24"/>
          <w:szCs w:val="24"/>
          <w:highlight w:val="none"/>
        </w:rPr>
      </w:pPr>
    </w:p>
    <w:p w14:paraId="7B3EC1C6">
      <w:pPr>
        <w:pStyle w:val="6"/>
        <w:rPr>
          <w:rFonts w:ascii="黑体" w:hAnsi="Calibri" w:eastAsia="黑体" w:cs="Times New Roman"/>
          <w:color w:val="000000"/>
          <w:sz w:val="24"/>
          <w:szCs w:val="24"/>
          <w:highlight w:val="none"/>
        </w:rPr>
      </w:pPr>
    </w:p>
    <w:p w14:paraId="5AB99023">
      <w:pPr>
        <w:pStyle w:val="6"/>
        <w:rPr>
          <w:rFonts w:ascii="黑体" w:hAnsi="Calibri" w:eastAsia="黑体" w:cs="Times New Roman"/>
          <w:color w:val="000000"/>
          <w:sz w:val="24"/>
          <w:szCs w:val="24"/>
          <w:highlight w:val="none"/>
        </w:rPr>
      </w:pPr>
    </w:p>
    <w:p w14:paraId="4E177F69">
      <w:pPr>
        <w:pStyle w:val="6"/>
        <w:rPr>
          <w:rFonts w:ascii="黑体" w:hAnsi="Calibri" w:eastAsia="黑体" w:cs="Times New Roman"/>
          <w:color w:val="000000"/>
          <w:sz w:val="24"/>
          <w:szCs w:val="24"/>
          <w:highlight w:val="none"/>
        </w:rPr>
      </w:pPr>
    </w:p>
    <w:p w14:paraId="053796C8">
      <w:pPr>
        <w:pStyle w:val="6"/>
        <w:rPr>
          <w:rFonts w:ascii="黑体" w:hAnsi="Calibri" w:eastAsia="黑体" w:cs="Times New Roman"/>
          <w:color w:val="000000"/>
          <w:sz w:val="24"/>
          <w:szCs w:val="24"/>
          <w:highlight w:val="none"/>
        </w:rPr>
      </w:pPr>
    </w:p>
    <w:p w14:paraId="3F199AD5">
      <w:pPr>
        <w:pStyle w:val="6"/>
        <w:rPr>
          <w:rFonts w:ascii="黑体" w:hAnsi="Calibri" w:eastAsia="黑体" w:cs="Times New Roman"/>
          <w:color w:val="000000"/>
          <w:sz w:val="24"/>
          <w:szCs w:val="24"/>
          <w:highlight w:val="none"/>
        </w:rPr>
      </w:pPr>
    </w:p>
    <w:p w14:paraId="48E60521">
      <w:pPr>
        <w:pStyle w:val="6"/>
        <w:rPr>
          <w:rFonts w:ascii="黑体" w:hAnsi="Calibri" w:eastAsia="黑体" w:cs="Times New Roman"/>
          <w:color w:val="000000"/>
          <w:sz w:val="24"/>
          <w:szCs w:val="24"/>
          <w:highlight w:val="none"/>
        </w:rPr>
      </w:pPr>
    </w:p>
    <w:p w14:paraId="73BED8E1">
      <w:pPr>
        <w:pStyle w:val="6"/>
        <w:rPr>
          <w:rFonts w:ascii="黑体" w:hAnsi="Calibri" w:eastAsia="黑体" w:cs="Times New Roman"/>
          <w:color w:val="000000"/>
          <w:sz w:val="24"/>
          <w:szCs w:val="24"/>
          <w:highlight w:val="none"/>
        </w:rPr>
      </w:pPr>
    </w:p>
    <w:p w14:paraId="70F1CF2F">
      <w:pPr>
        <w:pStyle w:val="6"/>
        <w:rPr>
          <w:rFonts w:ascii="黑体" w:hAnsi="Calibri" w:eastAsia="黑体" w:cs="Times New Roman"/>
          <w:color w:val="000000"/>
          <w:sz w:val="24"/>
          <w:szCs w:val="24"/>
          <w:highlight w:val="none"/>
        </w:rPr>
      </w:pPr>
    </w:p>
    <w:p w14:paraId="56354062">
      <w:pPr>
        <w:pStyle w:val="6"/>
        <w:rPr>
          <w:rFonts w:ascii="黑体" w:hAnsi="Calibri" w:eastAsia="黑体" w:cs="Times New Roman"/>
          <w:color w:val="000000"/>
          <w:sz w:val="24"/>
          <w:szCs w:val="24"/>
          <w:highlight w:val="none"/>
        </w:rPr>
      </w:pPr>
    </w:p>
    <w:p w14:paraId="3E361E84">
      <w:pPr>
        <w:pStyle w:val="6"/>
        <w:rPr>
          <w:rFonts w:ascii="黑体" w:hAnsi="Calibri" w:eastAsia="黑体" w:cs="Times New Roman"/>
          <w:color w:val="000000"/>
          <w:sz w:val="24"/>
          <w:szCs w:val="24"/>
          <w:highlight w:val="none"/>
        </w:rPr>
      </w:pPr>
    </w:p>
    <w:p w14:paraId="30D0B5A8">
      <w:pPr>
        <w:pStyle w:val="6"/>
        <w:rPr>
          <w:rFonts w:ascii="黑体" w:hAnsi="Calibri" w:eastAsia="黑体" w:cs="Times New Roman"/>
          <w:color w:val="000000"/>
          <w:sz w:val="24"/>
          <w:szCs w:val="24"/>
          <w:highlight w:val="none"/>
        </w:rPr>
      </w:pPr>
    </w:p>
    <w:p w14:paraId="0FE91013">
      <w:pPr>
        <w:pStyle w:val="6"/>
        <w:rPr>
          <w:rFonts w:ascii="黑体" w:hAnsi="Calibri" w:eastAsia="黑体" w:cs="Times New Roman"/>
          <w:color w:val="000000"/>
          <w:sz w:val="24"/>
          <w:szCs w:val="24"/>
          <w:highlight w:val="none"/>
        </w:rPr>
      </w:pPr>
    </w:p>
    <w:p w14:paraId="3056FD74">
      <w:pPr>
        <w:pStyle w:val="6"/>
        <w:rPr>
          <w:rFonts w:ascii="黑体" w:hAnsi="Calibri" w:eastAsia="黑体" w:cs="Times New Roman"/>
          <w:color w:val="000000"/>
          <w:sz w:val="24"/>
          <w:szCs w:val="24"/>
          <w:highlight w:val="none"/>
        </w:rPr>
      </w:pPr>
    </w:p>
    <w:p w14:paraId="224523E5">
      <w:pPr>
        <w:pStyle w:val="6"/>
        <w:rPr>
          <w:rFonts w:ascii="黑体" w:hAnsi="Calibri" w:eastAsia="黑体" w:cs="Times New Roman"/>
          <w:color w:val="000000"/>
          <w:sz w:val="24"/>
          <w:szCs w:val="24"/>
          <w:highlight w:val="none"/>
        </w:rPr>
      </w:pPr>
    </w:p>
    <w:p w14:paraId="314C36E3">
      <w:pPr>
        <w:pStyle w:val="6"/>
        <w:rPr>
          <w:rFonts w:ascii="黑体" w:hAnsi="Calibri" w:eastAsia="黑体" w:cs="Times New Roman"/>
          <w:color w:val="000000"/>
          <w:sz w:val="24"/>
          <w:szCs w:val="24"/>
          <w:highlight w:val="none"/>
        </w:rPr>
      </w:pPr>
    </w:p>
    <w:p w14:paraId="59ECB1F8">
      <w:pPr>
        <w:pStyle w:val="6"/>
        <w:rPr>
          <w:rFonts w:ascii="黑体" w:hAnsi="Calibri" w:eastAsia="黑体" w:cs="Times New Roman"/>
          <w:color w:val="000000"/>
          <w:sz w:val="24"/>
          <w:szCs w:val="24"/>
          <w:highlight w:val="none"/>
        </w:rPr>
      </w:pPr>
    </w:p>
    <w:p w14:paraId="7D1B90FD">
      <w:pPr>
        <w:pStyle w:val="6"/>
        <w:rPr>
          <w:rFonts w:ascii="黑体" w:hAnsi="Calibri" w:eastAsia="黑体" w:cs="Times New Roman"/>
          <w:color w:val="000000"/>
          <w:sz w:val="24"/>
          <w:szCs w:val="24"/>
          <w:highlight w:val="none"/>
        </w:rPr>
      </w:pPr>
    </w:p>
    <w:p w14:paraId="45F3758D">
      <w:pPr>
        <w:pStyle w:val="6"/>
        <w:rPr>
          <w:rFonts w:ascii="黑体" w:hAnsi="Calibri" w:eastAsia="黑体" w:cs="Times New Roman"/>
          <w:color w:val="000000"/>
          <w:sz w:val="24"/>
          <w:szCs w:val="24"/>
          <w:highlight w:val="none"/>
        </w:rPr>
      </w:pPr>
    </w:p>
    <w:p w14:paraId="7BF9E4B9">
      <w:pPr>
        <w:pStyle w:val="6"/>
        <w:rPr>
          <w:rFonts w:ascii="黑体" w:hAnsi="Calibri" w:eastAsia="黑体" w:cs="Times New Roman"/>
          <w:color w:val="000000"/>
          <w:sz w:val="24"/>
          <w:szCs w:val="24"/>
          <w:highlight w:val="none"/>
        </w:rPr>
      </w:pPr>
    </w:p>
    <w:p w14:paraId="56DC9A34">
      <w:pPr>
        <w:pStyle w:val="6"/>
        <w:rPr>
          <w:rFonts w:ascii="黑体" w:hAnsi="Calibri" w:eastAsia="黑体" w:cs="Times New Roman"/>
          <w:color w:val="000000"/>
          <w:sz w:val="24"/>
          <w:szCs w:val="24"/>
          <w:highlight w:val="none"/>
        </w:rPr>
      </w:pPr>
    </w:p>
    <w:p w14:paraId="592C76E3">
      <w:pPr>
        <w:pStyle w:val="6"/>
        <w:rPr>
          <w:rFonts w:ascii="黑体" w:hAnsi="Calibri" w:eastAsia="黑体" w:cs="Times New Roman"/>
          <w:color w:val="000000"/>
          <w:sz w:val="24"/>
          <w:szCs w:val="24"/>
          <w:highlight w:val="none"/>
        </w:rPr>
      </w:pPr>
    </w:p>
    <w:p w14:paraId="1F4FBE99">
      <w:pPr>
        <w:pStyle w:val="6"/>
        <w:rPr>
          <w:rFonts w:ascii="黑体" w:hAnsi="Calibri" w:eastAsia="黑体" w:cs="Times New Roman"/>
          <w:color w:val="000000"/>
          <w:sz w:val="24"/>
          <w:szCs w:val="24"/>
          <w:highlight w:val="none"/>
        </w:rPr>
      </w:pPr>
    </w:p>
    <w:p w14:paraId="642915D7">
      <w:pPr>
        <w:pStyle w:val="6"/>
        <w:rPr>
          <w:rFonts w:ascii="黑体" w:hAnsi="Calibri" w:eastAsia="黑体" w:cs="Times New Roman"/>
          <w:color w:val="000000"/>
          <w:sz w:val="24"/>
          <w:szCs w:val="24"/>
          <w:highlight w:val="none"/>
        </w:rPr>
      </w:pPr>
    </w:p>
    <w:p w14:paraId="37C5A83E">
      <w:pPr>
        <w:pStyle w:val="6"/>
        <w:rPr>
          <w:rFonts w:ascii="黑体" w:hAnsi="Calibri" w:eastAsia="黑体" w:cs="Times New Roman"/>
          <w:color w:val="000000"/>
          <w:sz w:val="24"/>
          <w:szCs w:val="24"/>
          <w:highlight w:val="none"/>
        </w:rPr>
      </w:pPr>
    </w:p>
    <w:p w14:paraId="6918918C">
      <w:pPr>
        <w:pStyle w:val="6"/>
        <w:rPr>
          <w:rFonts w:ascii="黑体" w:hAnsi="Calibri" w:eastAsia="黑体" w:cs="Times New Roman"/>
          <w:color w:val="000000"/>
          <w:sz w:val="24"/>
          <w:szCs w:val="24"/>
          <w:highlight w:val="none"/>
        </w:rPr>
      </w:pPr>
    </w:p>
    <w:p w14:paraId="23413342">
      <w:pPr>
        <w:pStyle w:val="6"/>
        <w:rPr>
          <w:rFonts w:ascii="黑体" w:hAnsi="Calibri" w:eastAsia="黑体" w:cs="Times New Roman"/>
          <w:color w:val="000000"/>
          <w:sz w:val="24"/>
          <w:szCs w:val="24"/>
          <w:highlight w:val="none"/>
        </w:rPr>
      </w:pPr>
    </w:p>
    <w:p w14:paraId="1F3E1D98">
      <w:pPr>
        <w:pStyle w:val="6"/>
        <w:rPr>
          <w:rFonts w:ascii="黑体" w:hAnsi="Calibri" w:eastAsia="黑体" w:cs="Times New Roman"/>
          <w:color w:val="000000"/>
          <w:sz w:val="24"/>
          <w:szCs w:val="24"/>
          <w:highlight w:val="none"/>
        </w:rPr>
      </w:pPr>
    </w:p>
    <w:p w14:paraId="4C332F9A">
      <w:pPr>
        <w:pStyle w:val="6"/>
        <w:rPr>
          <w:rFonts w:ascii="黑体" w:hAnsi="Calibri" w:eastAsia="黑体" w:cs="Times New Roman"/>
          <w:color w:val="000000"/>
          <w:sz w:val="24"/>
          <w:szCs w:val="24"/>
          <w:highlight w:val="none"/>
        </w:rPr>
      </w:pPr>
    </w:p>
    <w:p w14:paraId="54E2CCEE">
      <w:pPr>
        <w:pStyle w:val="6"/>
        <w:rPr>
          <w:rFonts w:ascii="黑体" w:hAnsi="Calibri" w:eastAsia="黑体" w:cs="Times New Roman"/>
          <w:color w:val="000000"/>
          <w:sz w:val="24"/>
          <w:szCs w:val="24"/>
          <w:highlight w:val="none"/>
        </w:rPr>
      </w:pPr>
    </w:p>
    <w:p w14:paraId="30DE1B06">
      <w:pPr>
        <w:pStyle w:val="6"/>
        <w:rPr>
          <w:rFonts w:ascii="黑体" w:hAnsi="Calibri" w:eastAsia="黑体" w:cs="Times New Roman"/>
          <w:color w:val="000000"/>
          <w:sz w:val="24"/>
          <w:szCs w:val="24"/>
          <w:highlight w:val="none"/>
        </w:rPr>
      </w:pPr>
    </w:p>
    <w:p w14:paraId="2340FA6B">
      <w:pPr>
        <w:pStyle w:val="6"/>
        <w:rPr>
          <w:rFonts w:ascii="黑体" w:hAnsi="Calibri" w:eastAsia="黑体" w:cs="Times New Roman"/>
          <w:color w:val="000000"/>
          <w:sz w:val="24"/>
          <w:szCs w:val="24"/>
          <w:highlight w:val="none"/>
        </w:rPr>
      </w:pPr>
    </w:p>
    <w:p w14:paraId="33B4353D">
      <w:pPr>
        <w:pStyle w:val="6"/>
        <w:rPr>
          <w:rFonts w:ascii="黑体" w:hAnsi="Calibri" w:eastAsia="黑体" w:cs="Times New Roman"/>
          <w:color w:val="000000"/>
          <w:sz w:val="24"/>
          <w:szCs w:val="24"/>
          <w:highlight w:val="none"/>
        </w:rPr>
      </w:pPr>
    </w:p>
    <w:p w14:paraId="7E8BE4CE">
      <w:pPr>
        <w:pStyle w:val="6"/>
        <w:rPr>
          <w:rFonts w:ascii="黑体" w:hAnsi="Calibri" w:eastAsia="黑体" w:cs="Times New Roman"/>
          <w:color w:val="000000"/>
          <w:sz w:val="24"/>
          <w:szCs w:val="24"/>
          <w:highlight w:val="none"/>
        </w:rPr>
      </w:pPr>
    </w:p>
    <w:p w14:paraId="0102CE28">
      <w:pPr>
        <w:pStyle w:val="6"/>
        <w:rPr>
          <w:rFonts w:ascii="黑体" w:hAnsi="Calibri" w:eastAsia="黑体" w:cs="Times New Roman"/>
          <w:color w:val="000000"/>
          <w:sz w:val="24"/>
          <w:szCs w:val="24"/>
          <w:highlight w:val="none"/>
        </w:rPr>
      </w:pPr>
    </w:p>
    <w:p w14:paraId="6DACB98E">
      <w:pPr>
        <w:pStyle w:val="6"/>
        <w:rPr>
          <w:rFonts w:ascii="黑体" w:hAnsi="Calibri" w:eastAsia="黑体" w:cs="Times New Roman"/>
          <w:color w:val="000000"/>
          <w:sz w:val="24"/>
          <w:szCs w:val="24"/>
          <w:highlight w:val="none"/>
        </w:rPr>
      </w:pPr>
    </w:p>
    <w:p w14:paraId="39B24FE3">
      <w:pPr>
        <w:pStyle w:val="6"/>
        <w:rPr>
          <w:rFonts w:ascii="黑体" w:hAnsi="Calibri" w:eastAsia="黑体" w:cs="Times New Roman"/>
          <w:color w:val="000000"/>
          <w:sz w:val="24"/>
          <w:szCs w:val="24"/>
          <w:highlight w:val="none"/>
        </w:rPr>
      </w:pPr>
    </w:p>
    <w:p w14:paraId="71BBBE52">
      <w:pPr>
        <w:rPr>
          <w:rFonts w:ascii="黑体" w:hAnsi="Calibri" w:eastAsia="黑体" w:cs="Times New Roman"/>
          <w:color w:val="000000"/>
          <w:sz w:val="24"/>
          <w:szCs w:val="24"/>
          <w:highlight w:val="none"/>
        </w:rPr>
      </w:pPr>
    </w:p>
    <w:p w14:paraId="073F563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0771ED57">
      <w:pPr>
        <w:adjustRightInd w:val="0"/>
        <w:snapToGrid w:val="0"/>
        <w:spacing w:before="93" w:beforeLines="30" w:line="240" w:lineRule="exact"/>
        <w:jc w:val="center"/>
        <w:rPr>
          <w:rFonts w:ascii="宋体" w:hAnsi="Calibri" w:eastAsia="宋体" w:cs="Times New Roman"/>
          <w:sz w:val="24"/>
          <w:szCs w:val="20"/>
          <w:highlight w:val="none"/>
        </w:rPr>
      </w:pPr>
    </w:p>
    <w:p w14:paraId="0334914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3E5F27E0">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3021B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1008568D">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53A97725">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6CD2275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6FE2644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7A53875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71FD748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61C084F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3BCA6CA9">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1E41663D">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B909292">
      <w:pPr>
        <w:rPr>
          <w:rFonts w:ascii="Calibri" w:hAnsi="Calibri" w:eastAsia="黑体" w:cs="Times New Roman"/>
          <w:b/>
          <w:bCs/>
          <w:color w:val="000000"/>
          <w:sz w:val="28"/>
          <w:szCs w:val="20"/>
          <w:highlight w:val="none"/>
        </w:rPr>
      </w:pPr>
    </w:p>
    <w:p w14:paraId="5E8798CE">
      <w:pPr>
        <w:pStyle w:val="6"/>
        <w:rPr>
          <w:rFonts w:ascii="Calibri" w:hAnsi="Calibri" w:eastAsia="黑体" w:cs="Times New Roman"/>
          <w:b/>
          <w:bCs/>
          <w:color w:val="000000"/>
          <w:sz w:val="28"/>
          <w:szCs w:val="20"/>
          <w:highlight w:val="none"/>
        </w:rPr>
        <w:sectPr>
          <w:pgSz w:w="11906" w:h="16838"/>
          <w:pgMar w:top="1588" w:right="1418" w:bottom="1134" w:left="1418" w:header="851" w:footer="992" w:gutter="0"/>
          <w:cols w:space="720" w:num="1"/>
          <w:titlePg/>
          <w:docGrid w:type="lines" w:linePitch="312" w:charSpace="0"/>
        </w:sectPr>
      </w:pPr>
    </w:p>
    <w:p w14:paraId="6DB7F0EA">
      <w:pPr>
        <w:keepNext/>
        <w:keepLines/>
        <w:outlineLvl w:val="2"/>
        <w:rPr>
          <w:rFonts w:hint="eastAsia"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Times New Roman" w:hAnsi="Times New Roman" w:eastAsia="宋体" w:cs="Times New Roman"/>
          <w:b/>
          <w:bCs/>
          <w:color w:val="000000"/>
          <w:sz w:val="24"/>
          <w:szCs w:val="24"/>
          <w:highlight w:val="none"/>
        </w:rPr>
        <w:t>附件3 投标人基本情况表</w:t>
      </w:r>
    </w:p>
    <w:tbl>
      <w:tblPr>
        <w:tblStyle w:val="2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72A1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 w:hRule="atLeast"/>
        </w:trPr>
        <w:tc>
          <w:tcPr>
            <w:tcW w:w="1956" w:type="dxa"/>
          </w:tcPr>
          <w:p w14:paraId="000E09EA">
            <w:pPr>
              <w:pStyle w:val="24"/>
              <w:spacing w:before="114"/>
              <w:ind w:left="720"/>
              <w:rPr>
                <w:rFonts w:hint="eastAsia"/>
                <w:highlight w:val="none"/>
              </w:rPr>
            </w:pPr>
            <w:r>
              <w:rPr>
                <w:highlight w:val="none"/>
              </w:rPr>
              <w:t xml:space="preserve">企业名称 </w:t>
            </w:r>
          </w:p>
        </w:tc>
        <w:tc>
          <w:tcPr>
            <w:tcW w:w="4680" w:type="dxa"/>
            <w:gridSpan w:val="4"/>
            <w:vAlign w:val="center"/>
          </w:tcPr>
          <w:p w14:paraId="629D5874">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01160907">
            <w:pPr>
              <w:pStyle w:val="24"/>
              <w:spacing w:before="106"/>
              <w:ind w:left="154"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74336C24">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3013F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37C8E60">
            <w:pPr>
              <w:pStyle w:val="24"/>
              <w:spacing w:before="114"/>
              <w:ind w:left="720"/>
              <w:rPr>
                <w:rFonts w:hint="eastAsia"/>
                <w:highlight w:val="none"/>
              </w:rPr>
            </w:pPr>
            <w:r>
              <w:rPr>
                <w:highlight w:val="none"/>
              </w:rPr>
              <w:t xml:space="preserve">企业地址 </w:t>
            </w:r>
          </w:p>
        </w:tc>
        <w:tc>
          <w:tcPr>
            <w:tcW w:w="4680" w:type="dxa"/>
            <w:gridSpan w:val="4"/>
            <w:vAlign w:val="center"/>
          </w:tcPr>
          <w:p w14:paraId="5A6B32F2">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2BE990D4">
            <w:pPr>
              <w:pStyle w:val="24"/>
              <w:spacing w:before="106"/>
              <w:ind w:left="154"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51F748D1">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2B903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3671FAA3">
            <w:pPr>
              <w:pStyle w:val="24"/>
              <w:spacing w:before="111"/>
              <w:ind w:left="720"/>
              <w:rPr>
                <w:rFonts w:hint="eastAsia"/>
                <w:highlight w:val="none"/>
              </w:rPr>
            </w:pPr>
            <w:r>
              <w:rPr>
                <w:highlight w:val="none"/>
              </w:rPr>
              <w:t xml:space="preserve">企业性质 </w:t>
            </w:r>
          </w:p>
        </w:tc>
        <w:tc>
          <w:tcPr>
            <w:tcW w:w="4680" w:type="dxa"/>
            <w:gridSpan w:val="4"/>
            <w:vAlign w:val="center"/>
          </w:tcPr>
          <w:p w14:paraId="67B76169">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1683E05D">
            <w:pPr>
              <w:pStyle w:val="24"/>
              <w:spacing w:before="103"/>
              <w:ind w:left="154" w:right="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09AF53B2">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37AFC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C10EB6B">
            <w:pPr>
              <w:pStyle w:val="24"/>
              <w:spacing w:before="111"/>
              <w:ind w:left="509"/>
              <w:rPr>
                <w:rFonts w:hint="eastAsia"/>
                <w:highlight w:val="none"/>
              </w:rPr>
            </w:pPr>
            <w:r>
              <w:rPr>
                <w:highlight w:val="none"/>
              </w:rPr>
              <w:t xml:space="preserve">企业法人代表  </w:t>
            </w:r>
          </w:p>
        </w:tc>
        <w:tc>
          <w:tcPr>
            <w:tcW w:w="4680" w:type="dxa"/>
            <w:gridSpan w:val="4"/>
          </w:tcPr>
          <w:p w14:paraId="3FCE76DC">
            <w:pPr>
              <w:pStyle w:val="3"/>
              <w:keepNext w:val="0"/>
              <w:keepLines w:val="0"/>
              <w:widowControl/>
              <w:shd w:val="clear" w:color="auto" w:fill="FFFFFF"/>
              <w:spacing w:before="0" w:after="0" w:line="450" w:lineRule="atLeast"/>
              <w:rPr>
                <w:rFonts w:hint="eastAsia" w:ascii="宋体" w:hAnsi="宋体" w:cs="宋体"/>
                <w:color w:val="000000" w:themeColor="text1"/>
                <w:highlight w:val="none"/>
                <w14:textFill>
                  <w14:solidFill>
                    <w14:schemeClr w14:val="tx1"/>
                  </w14:solidFill>
                </w14:textFill>
              </w:rPr>
            </w:pPr>
          </w:p>
        </w:tc>
        <w:tc>
          <w:tcPr>
            <w:tcW w:w="1310" w:type="dxa"/>
          </w:tcPr>
          <w:p w14:paraId="41C4E31D">
            <w:pPr>
              <w:pStyle w:val="24"/>
              <w:spacing w:before="103"/>
              <w:ind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06128D4A">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5F454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B64DCFC">
            <w:pPr>
              <w:pStyle w:val="24"/>
              <w:spacing w:before="114"/>
              <w:ind w:left="720"/>
              <w:rPr>
                <w:rFonts w:hint="eastAsia"/>
                <w:highlight w:val="none"/>
              </w:rPr>
            </w:pPr>
            <w:r>
              <w:rPr>
                <w:highlight w:val="none"/>
              </w:rPr>
              <w:t xml:space="preserve">品牌区分 </w:t>
            </w:r>
          </w:p>
        </w:tc>
        <w:tc>
          <w:tcPr>
            <w:tcW w:w="7500" w:type="dxa"/>
            <w:gridSpan w:val="6"/>
          </w:tcPr>
          <w:p w14:paraId="44802567">
            <w:pPr>
              <w:pStyle w:val="24"/>
              <w:spacing w:before="106"/>
              <w:ind w:left="401"/>
              <w:rPr>
                <w:rFonts w:hint="eastAsia"/>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6BE65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EBEFBFA">
            <w:pPr>
              <w:pStyle w:val="24"/>
              <w:spacing w:before="178"/>
              <w:ind w:left="720"/>
              <w:rPr>
                <w:rFonts w:hint="eastAsia"/>
                <w:highlight w:val="none"/>
              </w:rPr>
            </w:pPr>
            <w:r>
              <w:rPr>
                <w:highlight w:val="none"/>
              </w:rPr>
              <w:t xml:space="preserve">品牌名称 </w:t>
            </w:r>
          </w:p>
        </w:tc>
        <w:tc>
          <w:tcPr>
            <w:tcW w:w="3583" w:type="dxa"/>
            <w:gridSpan w:val="3"/>
            <w:vAlign w:val="center"/>
          </w:tcPr>
          <w:p w14:paraId="00D41F17">
            <w:pPr>
              <w:widowControl/>
              <w:rPr>
                <w:rFonts w:hint="eastAsia" w:ascii="宋体" w:hAnsi="宋体" w:eastAsia="仿宋_GB2312"/>
                <w:kern w:val="0"/>
                <w:szCs w:val="21"/>
                <w:highlight w:val="none"/>
                <w:lang w:bidi="ar"/>
              </w:rPr>
            </w:pPr>
          </w:p>
        </w:tc>
        <w:tc>
          <w:tcPr>
            <w:tcW w:w="1097" w:type="dxa"/>
          </w:tcPr>
          <w:p w14:paraId="632FDFA3">
            <w:pPr>
              <w:pStyle w:val="24"/>
              <w:spacing w:before="15"/>
              <w:ind w:left="279"/>
              <w:rPr>
                <w:rFonts w:hint="eastAsia"/>
                <w:highlight w:val="none"/>
              </w:rPr>
            </w:pPr>
            <w:r>
              <w:rPr>
                <w:spacing w:val="-2"/>
                <w:highlight w:val="none"/>
              </w:rPr>
              <w:t>质量</w:t>
            </w:r>
            <w:r>
              <w:rPr>
                <w:highlight w:val="none"/>
              </w:rPr>
              <w:t xml:space="preserve"> </w:t>
            </w:r>
          </w:p>
          <w:p w14:paraId="09C1C53C">
            <w:pPr>
              <w:pStyle w:val="24"/>
              <w:spacing w:before="30" w:line="277" w:lineRule="exact"/>
              <w:ind w:left="279"/>
              <w:rPr>
                <w:rFonts w:hint="eastAsia"/>
                <w:highlight w:val="none"/>
              </w:rPr>
            </w:pPr>
            <w:r>
              <w:rPr>
                <w:rFonts w:hint="eastAsia"/>
                <w:highlight w:val="none"/>
              </w:rPr>
              <w:t>体系</w:t>
            </w:r>
          </w:p>
        </w:tc>
        <w:tc>
          <w:tcPr>
            <w:tcW w:w="2820" w:type="dxa"/>
            <w:gridSpan w:val="2"/>
          </w:tcPr>
          <w:p w14:paraId="422305C4">
            <w:pPr>
              <w:pStyle w:val="24"/>
              <w:spacing w:before="158"/>
              <w:jc w:val="center"/>
              <w:rPr>
                <w:rFonts w:hint="eastAsia"/>
                <w:sz w:val="24"/>
                <w:highlight w:val="none"/>
              </w:rPr>
            </w:pPr>
            <w:r>
              <w:rPr>
                <w:rFonts w:hint="eastAsia"/>
                <w:kern w:val="0"/>
                <w:szCs w:val="21"/>
                <w:highlight w:val="none"/>
                <w:lang w:bidi="ar"/>
              </w:rPr>
              <w:t>/</w:t>
            </w:r>
          </w:p>
        </w:tc>
      </w:tr>
      <w:tr w14:paraId="7DD76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2C2B1E3E">
            <w:pPr>
              <w:pStyle w:val="24"/>
              <w:spacing w:before="149"/>
              <w:ind w:left="3345" w:right="3223"/>
              <w:jc w:val="center"/>
              <w:rPr>
                <w:rFonts w:hint="eastAsia"/>
                <w:highlight w:val="none"/>
              </w:rPr>
            </w:pPr>
            <w:r>
              <w:rPr>
                <w:rFonts w:hint="eastAsia"/>
                <w:szCs w:val="21"/>
                <w:highlight w:val="none"/>
              </w:rPr>
              <w:t>单位概况</w:t>
            </w:r>
          </w:p>
        </w:tc>
      </w:tr>
      <w:tr w14:paraId="19845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1B1FF4E2">
            <w:pPr>
              <w:widowControl/>
              <w:jc w:val="center"/>
              <w:textAlignment w:val="center"/>
              <w:rPr>
                <w:rFonts w:hint="eastAsia"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3CBBEA00">
            <w:pPr>
              <w:widowControl/>
              <w:textAlignment w:val="center"/>
              <w:rPr>
                <w:rFonts w:hint="eastAsia" w:ascii="宋体" w:hAnsi="宋体" w:eastAsia="宋体" w:cs="宋体"/>
                <w:szCs w:val="21"/>
                <w:highlight w:val="none"/>
              </w:rPr>
            </w:pPr>
          </w:p>
        </w:tc>
        <w:tc>
          <w:tcPr>
            <w:tcW w:w="1530" w:type="dxa"/>
            <w:vAlign w:val="center"/>
          </w:tcPr>
          <w:p w14:paraId="2AE08D41">
            <w:pPr>
              <w:widowControl/>
              <w:jc w:val="center"/>
              <w:textAlignment w:val="center"/>
              <w:rPr>
                <w:rFonts w:hint="eastAsia"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69BFCE13">
            <w:pPr>
              <w:widowControl/>
              <w:jc w:val="center"/>
              <w:textAlignment w:val="center"/>
              <w:rPr>
                <w:rFonts w:hint="eastAsia" w:ascii="宋体" w:hAnsi="宋体" w:eastAsia="宋体" w:cs="宋体"/>
                <w:szCs w:val="21"/>
                <w:highlight w:val="none"/>
              </w:rPr>
            </w:pPr>
          </w:p>
        </w:tc>
        <w:tc>
          <w:tcPr>
            <w:tcW w:w="1097" w:type="dxa"/>
            <w:vAlign w:val="center"/>
          </w:tcPr>
          <w:p w14:paraId="5B614AA1">
            <w:pPr>
              <w:widowControl/>
              <w:textAlignment w:val="center"/>
              <w:rPr>
                <w:rFonts w:hint="eastAsia"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0045348F">
            <w:pPr>
              <w:widowControl/>
              <w:jc w:val="center"/>
              <w:textAlignment w:val="center"/>
              <w:rPr>
                <w:rFonts w:hint="eastAsia" w:ascii="宋体" w:hAnsi="宋体" w:eastAsia="宋体" w:cs="宋体"/>
                <w:szCs w:val="21"/>
                <w:highlight w:val="none"/>
              </w:rPr>
            </w:pPr>
          </w:p>
        </w:tc>
      </w:tr>
      <w:tr w14:paraId="66C62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22C92534">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00962F38">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4878E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08EE016F">
            <w:pPr>
              <w:widowControl/>
              <w:jc w:val="center"/>
              <w:textAlignment w:val="center"/>
              <w:rPr>
                <w:rFonts w:hint="eastAsia"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5C43C810">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3AF0F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5EE2CFC3">
            <w:pPr>
              <w:widowControl/>
              <w:jc w:val="center"/>
              <w:textAlignment w:val="center"/>
              <w:rPr>
                <w:rFonts w:hint="eastAsia"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16439FD4">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0D94E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7BAD55E1">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32E291EC">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0B776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E295772">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1C972440">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0A710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4F7DECD">
            <w:pPr>
              <w:widowControl/>
              <w:textAlignment w:val="center"/>
              <w:rPr>
                <w:rFonts w:hint="eastAsia"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34F88097">
            <w:pPr>
              <w:widowControl/>
              <w:jc w:val="left"/>
              <w:rPr>
                <w:rFonts w:hint="eastAsia" w:ascii="宋体" w:hAnsi="宋体" w:eastAsia="宋体" w:cs="宋体"/>
                <w:kern w:val="0"/>
                <w:szCs w:val="21"/>
                <w:highlight w:val="none"/>
                <w:lang w:bidi="ar"/>
              </w:rPr>
            </w:pPr>
          </w:p>
        </w:tc>
      </w:tr>
    </w:tbl>
    <w:p w14:paraId="39CEA484">
      <w:pPr>
        <w:pStyle w:val="6"/>
        <w:rPr>
          <w:rFonts w:ascii="Times New Roman" w:hAnsi="Times New Roman" w:eastAsia="宋体" w:cs="Times New Roman"/>
          <w:b/>
          <w:bCs/>
          <w:color w:val="000000"/>
          <w:sz w:val="24"/>
          <w:szCs w:val="24"/>
          <w:highlight w:val="none"/>
        </w:rPr>
      </w:pPr>
    </w:p>
    <w:p w14:paraId="6493679A">
      <w:pPr>
        <w:pStyle w:val="6"/>
        <w:rPr>
          <w:rFonts w:ascii="Times New Roman" w:hAnsi="Times New Roman" w:eastAsia="宋体" w:cs="Times New Roman"/>
          <w:b/>
          <w:bCs/>
          <w:color w:val="000000"/>
          <w:sz w:val="24"/>
          <w:szCs w:val="24"/>
          <w:highlight w:val="none"/>
        </w:rPr>
      </w:pPr>
    </w:p>
    <w:p w14:paraId="4B83990D">
      <w:pPr>
        <w:pStyle w:val="6"/>
        <w:rPr>
          <w:rFonts w:ascii="Times New Roman" w:hAnsi="Times New Roman" w:eastAsia="宋体" w:cs="Times New Roman"/>
          <w:b/>
          <w:bCs/>
          <w:color w:val="000000"/>
          <w:sz w:val="24"/>
          <w:szCs w:val="24"/>
          <w:highlight w:val="none"/>
        </w:rPr>
      </w:pPr>
    </w:p>
    <w:p w14:paraId="05EDD225">
      <w:pPr>
        <w:pStyle w:val="6"/>
        <w:rPr>
          <w:rFonts w:ascii="Times New Roman" w:hAnsi="Times New Roman" w:eastAsia="宋体" w:cs="Times New Roman"/>
          <w:b/>
          <w:bCs/>
          <w:color w:val="000000"/>
          <w:sz w:val="24"/>
          <w:szCs w:val="24"/>
          <w:highlight w:val="none"/>
        </w:rPr>
      </w:pPr>
    </w:p>
    <w:p w14:paraId="016DDF00">
      <w:pPr>
        <w:pStyle w:val="6"/>
        <w:rPr>
          <w:rFonts w:ascii="Times New Roman" w:hAnsi="Times New Roman" w:eastAsia="宋体" w:cs="Times New Roman"/>
          <w:b/>
          <w:bCs/>
          <w:color w:val="000000"/>
          <w:sz w:val="24"/>
          <w:szCs w:val="24"/>
          <w:highlight w:val="none"/>
        </w:rPr>
      </w:pPr>
    </w:p>
    <w:p w14:paraId="2537BC49">
      <w:pPr>
        <w:pStyle w:val="6"/>
        <w:rPr>
          <w:rFonts w:ascii="Times New Roman" w:hAnsi="Times New Roman" w:eastAsia="宋体" w:cs="Times New Roman"/>
          <w:b/>
          <w:bCs/>
          <w:color w:val="000000"/>
          <w:sz w:val="24"/>
          <w:szCs w:val="24"/>
          <w:highlight w:val="none"/>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p w14:paraId="1CB82137">
      <w:pPr>
        <w:pStyle w:val="6"/>
        <w:rPr>
          <w:rFonts w:ascii="Times New Roman" w:hAnsi="Times New Roman" w:eastAsia="宋体" w:cs="Times New Roman"/>
          <w:b/>
          <w:bCs/>
          <w:color w:val="000000"/>
          <w:sz w:val="24"/>
          <w:szCs w:val="24"/>
          <w:highlight w:val="none"/>
        </w:rPr>
      </w:pPr>
    </w:p>
    <w:p w14:paraId="49A2E01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2A52E4FC">
      <w:pPr>
        <w:spacing w:line="240" w:lineRule="exact"/>
        <w:jc w:val="center"/>
        <w:rPr>
          <w:rFonts w:ascii="宋体" w:hAnsi="Calibri" w:eastAsia="宋体" w:cs="Times New Roman"/>
          <w:b/>
          <w:bCs/>
          <w:sz w:val="36"/>
          <w:szCs w:val="20"/>
          <w:highlight w:val="none"/>
        </w:rPr>
      </w:pPr>
    </w:p>
    <w:p w14:paraId="5CEF0647">
      <w:pPr>
        <w:spacing w:line="360" w:lineRule="auto"/>
        <w:rPr>
          <w:rFonts w:hint="eastAsia" w:ascii="宋体" w:hAnsi="宋体" w:eastAsia="宋体" w:cs="Times New Roman"/>
          <w:b/>
          <w:color w:val="000000"/>
          <w:sz w:val="24"/>
          <w:szCs w:val="24"/>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b/>
          <w:color w:val="000000"/>
          <w:sz w:val="24"/>
          <w:szCs w:val="24"/>
          <w:highlight w:val="none"/>
          <w:u w:val="single"/>
        </w:rPr>
        <w:t>《重型汽车报》2027年印刷项目</w:t>
      </w:r>
    </w:p>
    <w:p w14:paraId="08EC9305">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中国重汽集团济南动力有限公司：</w:t>
      </w:r>
    </w:p>
    <w:p w14:paraId="6E0725BF">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6E9AB531">
      <w:pPr>
        <w:spacing w:line="360" w:lineRule="auto"/>
        <w:ind w:left="479" w:leftChars="228"/>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503777B9">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83DC197">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36490DE">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AF9443">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927EF4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9C45DA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9FC01FA">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01580F5">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76B523E">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9C9B954">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373F9E6">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CA81F34">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D6DADA9">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454624B">
      <w:pPr>
        <w:spacing w:line="360" w:lineRule="auto"/>
        <w:ind w:firstLine="480" w:firstLineChars="200"/>
        <w:rPr>
          <w:rFonts w:hint="eastAsia" w:ascii="宋体" w:hAnsi="宋体" w:eastAsia="宋体" w:cs="Times New Roman"/>
          <w:sz w:val="24"/>
          <w:szCs w:val="20"/>
          <w:highlight w:val="none"/>
          <w:u w:val="single"/>
        </w:rPr>
      </w:pPr>
    </w:p>
    <w:p w14:paraId="4723E21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25BDA84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0F2A3A8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36B198CB">
      <w:pPr>
        <w:rPr>
          <w:rFonts w:ascii="宋体" w:hAnsi="Calibri" w:eastAsia="宋体" w:cs="宋体"/>
          <w:b/>
          <w:bCs/>
          <w:color w:val="000000"/>
          <w:sz w:val="28"/>
          <w:szCs w:val="20"/>
          <w:highlight w:val="none"/>
        </w:rPr>
        <w:sectPr>
          <w:footerReference r:id="rId6" w:type="first"/>
          <w:footerReference r:id="rId5" w:type="default"/>
          <w:pgSz w:w="11906" w:h="16838"/>
          <w:pgMar w:top="1588" w:right="1418" w:bottom="1134" w:left="1418" w:header="851" w:footer="992" w:gutter="0"/>
          <w:cols w:space="720" w:num="1"/>
          <w:titlePg/>
          <w:docGrid w:type="lines" w:linePitch="312" w:charSpace="0"/>
        </w:sectPr>
      </w:pPr>
    </w:p>
    <w:p w14:paraId="10B4C292">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宋体"/>
          <w:b/>
          <w:bCs/>
          <w:color w:val="000000"/>
          <w:sz w:val="24"/>
          <w:szCs w:val="24"/>
          <w:highlight w:val="none"/>
        </w:rPr>
        <w:t>附件5-1</w:t>
      </w:r>
      <w:r>
        <w:rPr>
          <w:rFonts w:ascii="Times New Roman" w:hAnsi="Times New Roman" w:eastAsia="宋体" w:cs="宋体"/>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技术规格偏离表</w:t>
      </w:r>
    </w:p>
    <w:p w14:paraId="60C82CC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项目名称：</w:t>
      </w:r>
      <w:r>
        <w:rPr>
          <w:rFonts w:ascii="宋体" w:hAnsi="宋体" w:eastAsia="宋体" w:cs="Times New Roman"/>
          <w:b/>
          <w:color w:val="000000"/>
          <w:sz w:val="24"/>
          <w:szCs w:val="24"/>
          <w:highlight w:val="none"/>
          <w:u w:val="single"/>
        </w:rPr>
        <w:t xml:space="preserve">            </w:t>
      </w:r>
      <w:r>
        <w:rPr>
          <w:rFonts w:ascii="宋体" w:hAnsi="宋体" w:eastAsia="宋体" w:cs="Times New Roman"/>
          <w:color w:val="000000"/>
          <w:sz w:val="24"/>
          <w:szCs w:val="24"/>
          <w:highlight w:val="none"/>
        </w:rPr>
        <w:t xml:space="preserve">                                                        </w:t>
      </w:r>
    </w:p>
    <w:tbl>
      <w:tblPr>
        <w:tblStyle w:val="12"/>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0110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19B6CE58">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序号</w:t>
            </w:r>
          </w:p>
        </w:tc>
        <w:tc>
          <w:tcPr>
            <w:tcW w:w="3449" w:type="dxa"/>
            <w:vAlign w:val="center"/>
          </w:tcPr>
          <w:p w14:paraId="74867BEF">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招标要求</w:t>
            </w:r>
          </w:p>
        </w:tc>
        <w:tc>
          <w:tcPr>
            <w:tcW w:w="2414" w:type="dxa"/>
            <w:vAlign w:val="center"/>
          </w:tcPr>
          <w:p w14:paraId="52E605FE">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响应规格</w:t>
            </w:r>
          </w:p>
        </w:tc>
        <w:tc>
          <w:tcPr>
            <w:tcW w:w="1608" w:type="dxa"/>
            <w:vAlign w:val="center"/>
          </w:tcPr>
          <w:p w14:paraId="5123DBF4">
            <w:pPr>
              <w:jc w:val="center"/>
              <w:rPr>
                <w:rFonts w:ascii="Times New Roman" w:hAnsi="Times New Roman" w:eastAsia="宋体" w:cs="Times New Roman"/>
                <w:b/>
                <w:szCs w:val="20"/>
                <w:highlight w:val="none"/>
              </w:rPr>
            </w:pPr>
            <w:r>
              <w:rPr>
                <w:rFonts w:hint="eastAsia" w:ascii="宋体" w:hAnsi="宋体" w:eastAsia="宋体" w:cs="宋体"/>
                <w:b/>
                <w:szCs w:val="20"/>
                <w:highlight w:val="none"/>
              </w:rPr>
              <w:t>是否偏离</w:t>
            </w:r>
          </w:p>
        </w:tc>
      </w:tr>
      <w:tr w14:paraId="0717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024181F">
            <w:pPr>
              <w:jc w:val="center"/>
              <w:rPr>
                <w:rFonts w:ascii="Times New Roman" w:hAnsi="Times New Roman" w:eastAsia="宋体" w:cs="Times New Roman"/>
                <w:b/>
                <w:sz w:val="24"/>
                <w:szCs w:val="20"/>
                <w:highlight w:val="none"/>
              </w:rPr>
            </w:pPr>
          </w:p>
        </w:tc>
        <w:tc>
          <w:tcPr>
            <w:tcW w:w="3449" w:type="dxa"/>
          </w:tcPr>
          <w:p w14:paraId="31B36C55">
            <w:pPr>
              <w:jc w:val="center"/>
              <w:rPr>
                <w:rFonts w:ascii="Times New Roman" w:hAnsi="Times New Roman" w:eastAsia="宋体" w:cs="Times New Roman"/>
                <w:b/>
                <w:sz w:val="24"/>
                <w:szCs w:val="20"/>
                <w:highlight w:val="none"/>
              </w:rPr>
            </w:pPr>
          </w:p>
        </w:tc>
        <w:tc>
          <w:tcPr>
            <w:tcW w:w="2414" w:type="dxa"/>
          </w:tcPr>
          <w:p w14:paraId="4E1A10D6">
            <w:pPr>
              <w:jc w:val="center"/>
              <w:rPr>
                <w:rFonts w:ascii="Times New Roman" w:hAnsi="Times New Roman" w:eastAsia="宋体" w:cs="Times New Roman"/>
                <w:b/>
                <w:sz w:val="24"/>
                <w:szCs w:val="20"/>
                <w:highlight w:val="none"/>
              </w:rPr>
            </w:pPr>
          </w:p>
        </w:tc>
        <w:tc>
          <w:tcPr>
            <w:tcW w:w="1608" w:type="dxa"/>
          </w:tcPr>
          <w:p w14:paraId="2759E871">
            <w:pPr>
              <w:jc w:val="center"/>
              <w:rPr>
                <w:rFonts w:ascii="Times New Roman" w:hAnsi="Times New Roman" w:eastAsia="宋体" w:cs="Times New Roman"/>
                <w:b/>
                <w:sz w:val="24"/>
                <w:szCs w:val="20"/>
                <w:highlight w:val="none"/>
              </w:rPr>
            </w:pPr>
          </w:p>
        </w:tc>
      </w:tr>
      <w:tr w14:paraId="2202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140E99A">
            <w:pPr>
              <w:jc w:val="center"/>
              <w:rPr>
                <w:rFonts w:ascii="Times New Roman" w:hAnsi="Times New Roman" w:eastAsia="宋体" w:cs="Times New Roman"/>
                <w:b/>
                <w:sz w:val="24"/>
                <w:szCs w:val="20"/>
                <w:highlight w:val="none"/>
              </w:rPr>
            </w:pPr>
          </w:p>
        </w:tc>
        <w:tc>
          <w:tcPr>
            <w:tcW w:w="3449" w:type="dxa"/>
          </w:tcPr>
          <w:p w14:paraId="5C55DEFF">
            <w:pPr>
              <w:jc w:val="center"/>
              <w:rPr>
                <w:rFonts w:ascii="Times New Roman" w:hAnsi="Times New Roman" w:eastAsia="宋体" w:cs="Times New Roman"/>
                <w:b/>
                <w:sz w:val="24"/>
                <w:szCs w:val="20"/>
                <w:highlight w:val="none"/>
              </w:rPr>
            </w:pPr>
          </w:p>
        </w:tc>
        <w:tc>
          <w:tcPr>
            <w:tcW w:w="2414" w:type="dxa"/>
          </w:tcPr>
          <w:p w14:paraId="124E5EF6">
            <w:pPr>
              <w:jc w:val="center"/>
              <w:rPr>
                <w:rFonts w:ascii="Times New Roman" w:hAnsi="Times New Roman" w:eastAsia="宋体" w:cs="Times New Roman"/>
                <w:b/>
                <w:sz w:val="24"/>
                <w:szCs w:val="20"/>
                <w:highlight w:val="none"/>
              </w:rPr>
            </w:pPr>
          </w:p>
        </w:tc>
        <w:tc>
          <w:tcPr>
            <w:tcW w:w="1608" w:type="dxa"/>
          </w:tcPr>
          <w:p w14:paraId="481425FB">
            <w:pPr>
              <w:jc w:val="center"/>
              <w:rPr>
                <w:rFonts w:ascii="Times New Roman" w:hAnsi="Times New Roman" w:eastAsia="宋体" w:cs="Times New Roman"/>
                <w:b/>
                <w:sz w:val="24"/>
                <w:szCs w:val="20"/>
                <w:highlight w:val="none"/>
              </w:rPr>
            </w:pPr>
          </w:p>
        </w:tc>
      </w:tr>
      <w:tr w14:paraId="3FDE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F7C889F">
            <w:pPr>
              <w:jc w:val="center"/>
              <w:rPr>
                <w:rFonts w:ascii="Times New Roman" w:hAnsi="Times New Roman" w:eastAsia="宋体" w:cs="Times New Roman"/>
                <w:b/>
                <w:sz w:val="24"/>
                <w:szCs w:val="20"/>
                <w:highlight w:val="none"/>
              </w:rPr>
            </w:pPr>
          </w:p>
        </w:tc>
        <w:tc>
          <w:tcPr>
            <w:tcW w:w="3449" w:type="dxa"/>
          </w:tcPr>
          <w:p w14:paraId="57543454">
            <w:pPr>
              <w:jc w:val="center"/>
              <w:rPr>
                <w:rFonts w:ascii="Times New Roman" w:hAnsi="Times New Roman" w:eastAsia="宋体" w:cs="Times New Roman"/>
                <w:b/>
                <w:sz w:val="24"/>
                <w:szCs w:val="20"/>
                <w:highlight w:val="none"/>
              </w:rPr>
            </w:pPr>
          </w:p>
        </w:tc>
        <w:tc>
          <w:tcPr>
            <w:tcW w:w="2414" w:type="dxa"/>
          </w:tcPr>
          <w:p w14:paraId="44614FCE">
            <w:pPr>
              <w:jc w:val="center"/>
              <w:rPr>
                <w:rFonts w:ascii="Times New Roman" w:hAnsi="Times New Roman" w:eastAsia="宋体" w:cs="Times New Roman"/>
                <w:b/>
                <w:sz w:val="24"/>
                <w:szCs w:val="20"/>
                <w:highlight w:val="none"/>
              </w:rPr>
            </w:pPr>
          </w:p>
        </w:tc>
        <w:tc>
          <w:tcPr>
            <w:tcW w:w="1608" w:type="dxa"/>
          </w:tcPr>
          <w:p w14:paraId="5EC1AA59">
            <w:pPr>
              <w:jc w:val="center"/>
              <w:rPr>
                <w:rFonts w:ascii="Times New Roman" w:hAnsi="Times New Roman" w:eastAsia="宋体" w:cs="Times New Roman"/>
                <w:b/>
                <w:sz w:val="24"/>
                <w:szCs w:val="20"/>
                <w:highlight w:val="none"/>
              </w:rPr>
            </w:pPr>
          </w:p>
        </w:tc>
      </w:tr>
      <w:tr w14:paraId="16FE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32060A88">
            <w:pPr>
              <w:jc w:val="center"/>
              <w:rPr>
                <w:rFonts w:ascii="Times New Roman" w:hAnsi="Times New Roman" w:eastAsia="宋体" w:cs="Times New Roman"/>
                <w:b/>
                <w:sz w:val="24"/>
                <w:szCs w:val="20"/>
                <w:highlight w:val="none"/>
              </w:rPr>
            </w:pPr>
          </w:p>
        </w:tc>
        <w:tc>
          <w:tcPr>
            <w:tcW w:w="3449" w:type="dxa"/>
          </w:tcPr>
          <w:p w14:paraId="3364FCF0">
            <w:pPr>
              <w:jc w:val="center"/>
              <w:rPr>
                <w:rFonts w:ascii="Times New Roman" w:hAnsi="Times New Roman" w:eastAsia="宋体" w:cs="Times New Roman"/>
                <w:b/>
                <w:sz w:val="24"/>
                <w:szCs w:val="20"/>
                <w:highlight w:val="none"/>
              </w:rPr>
            </w:pPr>
          </w:p>
        </w:tc>
        <w:tc>
          <w:tcPr>
            <w:tcW w:w="2414" w:type="dxa"/>
          </w:tcPr>
          <w:p w14:paraId="62BA9854">
            <w:pPr>
              <w:jc w:val="center"/>
              <w:rPr>
                <w:rFonts w:ascii="Times New Roman" w:hAnsi="Times New Roman" w:eastAsia="宋体" w:cs="Times New Roman"/>
                <w:b/>
                <w:sz w:val="24"/>
                <w:szCs w:val="20"/>
                <w:highlight w:val="none"/>
              </w:rPr>
            </w:pPr>
          </w:p>
        </w:tc>
        <w:tc>
          <w:tcPr>
            <w:tcW w:w="1608" w:type="dxa"/>
          </w:tcPr>
          <w:p w14:paraId="3261AB9B">
            <w:pPr>
              <w:jc w:val="center"/>
              <w:rPr>
                <w:rFonts w:ascii="Times New Roman" w:hAnsi="Times New Roman" w:eastAsia="宋体" w:cs="Times New Roman"/>
                <w:b/>
                <w:sz w:val="24"/>
                <w:szCs w:val="20"/>
                <w:highlight w:val="none"/>
              </w:rPr>
            </w:pPr>
          </w:p>
        </w:tc>
      </w:tr>
      <w:tr w14:paraId="7645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DD743E">
            <w:pPr>
              <w:jc w:val="center"/>
              <w:rPr>
                <w:rFonts w:ascii="Times New Roman" w:hAnsi="Times New Roman" w:eastAsia="宋体" w:cs="Times New Roman"/>
                <w:b/>
                <w:sz w:val="24"/>
                <w:szCs w:val="20"/>
                <w:highlight w:val="none"/>
              </w:rPr>
            </w:pPr>
          </w:p>
        </w:tc>
        <w:tc>
          <w:tcPr>
            <w:tcW w:w="3449" w:type="dxa"/>
          </w:tcPr>
          <w:p w14:paraId="7BD29A1E">
            <w:pPr>
              <w:jc w:val="center"/>
              <w:rPr>
                <w:rFonts w:ascii="Times New Roman" w:hAnsi="Times New Roman" w:eastAsia="宋体" w:cs="Times New Roman"/>
                <w:b/>
                <w:sz w:val="24"/>
                <w:szCs w:val="20"/>
                <w:highlight w:val="none"/>
              </w:rPr>
            </w:pPr>
          </w:p>
        </w:tc>
        <w:tc>
          <w:tcPr>
            <w:tcW w:w="2414" w:type="dxa"/>
          </w:tcPr>
          <w:p w14:paraId="0DA6B615">
            <w:pPr>
              <w:jc w:val="center"/>
              <w:rPr>
                <w:rFonts w:ascii="Times New Roman" w:hAnsi="Times New Roman" w:eastAsia="宋体" w:cs="Times New Roman"/>
                <w:b/>
                <w:sz w:val="24"/>
                <w:szCs w:val="20"/>
                <w:highlight w:val="none"/>
              </w:rPr>
            </w:pPr>
          </w:p>
        </w:tc>
        <w:tc>
          <w:tcPr>
            <w:tcW w:w="1608" w:type="dxa"/>
          </w:tcPr>
          <w:p w14:paraId="3D448FBF">
            <w:pPr>
              <w:jc w:val="center"/>
              <w:rPr>
                <w:rFonts w:ascii="Times New Roman" w:hAnsi="Times New Roman" w:eastAsia="宋体" w:cs="Times New Roman"/>
                <w:b/>
                <w:sz w:val="24"/>
                <w:szCs w:val="20"/>
                <w:highlight w:val="none"/>
              </w:rPr>
            </w:pPr>
          </w:p>
        </w:tc>
      </w:tr>
      <w:tr w14:paraId="53F6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845DAB8">
            <w:pPr>
              <w:jc w:val="center"/>
              <w:rPr>
                <w:rFonts w:ascii="Times New Roman" w:hAnsi="Times New Roman" w:eastAsia="宋体" w:cs="Times New Roman"/>
                <w:b/>
                <w:sz w:val="24"/>
                <w:szCs w:val="20"/>
                <w:highlight w:val="none"/>
              </w:rPr>
            </w:pPr>
          </w:p>
        </w:tc>
        <w:tc>
          <w:tcPr>
            <w:tcW w:w="3449" w:type="dxa"/>
          </w:tcPr>
          <w:p w14:paraId="4E2BC546">
            <w:pPr>
              <w:jc w:val="center"/>
              <w:rPr>
                <w:rFonts w:ascii="Times New Roman" w:hAnsi="Times New Roman" w:eastAsia="宋体" w:cs="Times New Roman"/>
                <w:b/>
                <w:sz w:val="24"/>
                <w:szCs w:val="20"/>
                <w:highlight w:val="none"/>
              </w:rPr>
            </w:pPr>
          </w:p>
        </w:tc>
        <w:tc>
          <w:tcPr>
            <w:tcW w:w="2414" w:type="dxa"/>
          </w:tcPr>
          <w:p w14:paraId="4BDAE26B">
            <w:pPr>
              <w:jc w:val="center"/>
              <w:rPr>
                <w:rFonts w:ascii="Times New Roman" w:hAnsi="Times New Roman" w:eastAsia="宋体" w:cs="Times New Roman"/>
                <w:b/>
                <w:sz w:val="24"/>
                <w:szCs w:val="20"/>
                <w:highlight w:val="none"/>
              </w:rPr>
            </w:pPr>
          </w:p>
        </w:tc>
        <w:tc>
          <w:tcPr>
            <w:tcW w:w="1608" w:type="dxa"/>
          </w:tcPr>
          <w:p w14:paraId="31DDFFAD">
            <w:pPr>
              <w:jc w:val="center"/>
              <w:rPr>
                <w:rFonts w:ascii="Times New Roman" w:hAnsi="Times New Roman" w:eastAsia="宋体" w:cs="Times New Roman"/>
                <w:b/>
                <w:sz w:val="24"/>
                <w:szCs w:val="20"/>
                <w:highlight w:val="none"/>
              </w:rPr>
            </w:pPr>
          </w:p>
        </w:tc>
      </w:tr>
      <w:tr w14:paraId="2031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7D51719">
            <w:pPr>
              <w:jc w:val="center"/>
              <w:rPr>
                <w:rFonts w:ascii="Times New Roman" w:hAnsi="Times New Roman" w:eastAsia="宋体" w:cs="Times New Roman"/>
                <w:b/>
                <w:sz w:val="24"/>
                <w:szCs w:val="20"/>
                <w:highlight w:val="none"/>
              </w:rPr>
            </w:pPr>
          </w:p>
        </w:tc>
        <w:tc>
          <w:tcPr>
            <w:tcW w:w="3449" w:type="dxa"/>
          </w:tcPr>
          <w:p w14:paraId="1C885A01">
            <w:pPr>
              <w:jc w:val="center"/>
              <w:rPr>
                <w:rFonts w:ascii="Times New Roman" w:hAnsi="Times New Roman" w:eastAsia="宋体" w:cs="Times New Roman"/>
                <w:b/>
                <w:sz w:val="24"/>
                <w:szCs w:val="20"/>
                <w:highlight w:val="none"/>
              </w:rPr>
            </w:pPr>
          </w:p>
        </w:tc>
        <w:tc>
          <w:tcPr>
            <w:tcW w:w="2414" w:type="dxa"/>
          </w:tcPr>
          <w:p w14:paraId="4D10FCDD">
            <w:pPr>
              <w:jc w:val="center"/>
              <w:rPr>
                <w:rFonts w:ascii="Times New Roman" w:hAnsi="Times New Roman" w:eastAsia="宋体" w:cs="Times New Roman"/>
                <w:b/>
                <w:sz w:val="24"/>
                <w:szCs w:val="20"/>
                <w:highlight w:val="none"/>
              </w:rPr>
            </w:pPr>
          </w:p>
        </w:tc>
        <w:tc>
          <w:tcPr>
            <w:tcW w:w="1608" w:type="dxa"/>
          </w:tcPr>
          <w:p w14:paraId="3FD52A69">
            <w:pPr>
              <w:jc w:val="center"/>
              <w:rPr>
                <w:rFonts w:ascii="Times New Roman" w:hAnsi="Times New Roman" w:eastAsia="宋体" w:cs="Times New Roman"/>
                <w:b/>
                <w:sz w:val="24"/>
                <w:szCs w:val="20"/>
                <w:highlight w:val="none"/>
              </w:rPr>
            </w:pPr>
          </w:p>
        </w:tc>
      </w:tr>
      <w:tr w14:paraId="7410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EC3CFB8">
            <w:pPr>
              <w:jc w:val="center"/>
              <w:rPr>
                <w:rFonts w:ascii="Times New Roman" w:hAnsi="Times New Roman" w:eastAsia="宋体" w:cs="Times New Roman"/>
                <w:b/>
                <w:sz w:val="24"/>
                <w:szCs w:val="20"/>
                <w:highlight w:val="none"/>
              </w:rPr>
            </w:pPr>
          </w:p>
        </w:tc>
        <w:tc>
          <w:tcPr>
            <w:tcW w:w="3449" w:type="dxa"/>
          </w:tcPr>
          <w:p w14:paraId="43341BFF">
            <w:pPr>
              <w:jc w:val="center"/>
              <w:rPr>
                <w:rFonts w:ascii="Times New Roman" w:hAnsi="Times New Roman" w:eastAsia="宋体" w:cs="Times New Roman"/>
                <w:b/>
                <w:sz w:val="24"/>
                <w:szCs w:val="20"/>
                <w:highlight w:val="none"/>
              </w:rPr>
            </w:pPr>
          </w:p>
        </w:tc>
        <w:tc>
          <w:tcPr>
            <w:tcW w:w="2414" w:type="dxa"/>
          </w:tcPr>
          <w:p w14:paraId="5E089284">
            <w:pPr>
              <w:jc w:val="center"/>
              <w:rPr>
                <w:rFonts w:ascii="Times New Roman" w:hAnsi="Times New Roman" w:eastAsia="宋体" w:cs="Times New Roman"/>
                <w:b/>
                <w:sz w:val="24"/>
                <w:szCs w:val="20"/>
                <w:highlight w:val="none"/>
              </w:rPr>
            </w:pPr>
          </w:p>
        </w:tc>
        <w:tc>
          <w:tcPr>
            <w:tcW w:w="1608" w:type="dxa"/>
          </w:tcPr>
          <w:p w14:paraId="314207DD">
            <w:pPr>
              <w:jc w:val="center"/>
              <w:rPr>
                <w:rFonts w:ascii="Times New Roman" w:hAnsi="Times New Roman" w:eastAsia="宋体" w:cs="Times New Roman"/>
                <w:b/>
                <w:sz w:val="24"/>
                <w:szCs w:val="20"/>
                <w:highlight w:val="none"/>
              </w:rPr>
            </w:pPr>
          </w:p>
        </w:tc>
      </w:tr>
      <w:tr w14:paraId="5926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61F9570">
            <w:pPr>
              <w:jc w:val="center"/>
              <w:rPr>
                <w:rFonts w:ascii="Times New Roman" w:hAnsi="Times New Roman" w:eastAsia="宋体" w:cs="Times New Roman"/>
                <w:b/>
                <w:sz w:val="24"/>
                <w:szCs w:val="20"/>
                <w:highlight w:val="none"/>
              </w:rPr>
            </w:pPr>
          </w:p>
        </w:tc>
        <w:tc>
          <w:tcPr>
            <w:tcW w:w="3449" w:type="dxa"/>
          </w:tcPr>
          <w:p w14:paraId="43344EA1">
            <w:pPr>
              <w:jc w:val="center"/>
              <w:rPr>
                <w:rFonts w:ascii="Times New Roman" w:hAnsi="Times New Roman" w:eastAsia="宋体" w:cs="Times New Roman"/>
                <w:b/>
                <w:sz w:val="24"/>
                <w:szCs w:val="20"/>
                <w:highlight w:val="none"/>
              </w:rPr>
            </w:pPr>
          </w:p>
        </w:tc>
        <w:tc>
          <w:tcPr>
            <w:tcW w:w="2414" w:type="dxa"/>
          </w:tcPr>
          <w:p w14:paraId="6E68FA78">
            <w:pPr>
              <w:jc w:val="center"/>
              <w:rPr>
                <w:rFonts w:ascii="Times New Roman" w:hAnsi="Times New Roman" w:eastAsia="宋体" w:cs="Times New Roman"/>
                <w:b/>
                <w:sz w:val="24"/>
                <w:szCs w:val="20"/>
                <w:highlight w:val="none"/>
              </w:rPr>
            </w:pPr>
          </w:p>
        </w:tc>
        <w:tc>
          <w:tcPr>
            <w:tcW w:w="1608" w:type="dxa"/>
          </w:tcPr>
          <w:p w14:paraId="27CE5E03">
            <w:pPr>
              <w:jc w:val="center"/>
              <w:rPr>
                <w:rFonts w:ascii="Times New Roman" w:hAnsi="Times New Roman" w:eastAsia="宋体" w:cs="Times New Roman"/>
                <w:b/>
                <w:sz w:val="24"/>
                <w:szCs w:val="20"/>
                <w:highlight w:val="none"/>
              </w:rPr>
            </w:pPr>
          </w:p>
        </w:tc>
      </w:tr>
      <w:tr w14:paraId="21B5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3B13BF6">
            <w:pPr>
              <w:jc w:val="center"/>
              <w:rPr>
                <w:rFonts w:ascii="Times New Roman" w:hAnsi="Times New Roman" w:eastAsia="宋体" w:cs="Times New Roman"/>
                <w:b/>
                <w:sz w:val="24"/>
                <w:szCs w:val="20"/>
                <w:highlight w:val="none"/>
              </w:rPr>
            </w:pPr>
          </w:p>
        </w:tc>
        <w:tc>
          <w:tcPr>
            <w:tcW w:w="3449" w:type="dxa"/>
          </w:tcPr>
          <w:p w14:paraId="376EE60A">
            <w:pPr>
              <w:jc w:val="center"/>
              <w:rPr>
                <w:rFonts w:ascii="Times New Roman" w:hAnsi="Times New Roman" w:eastAsia="宋体" w:cs="Times New Roman"/>
                <w:b/>
                <w:sz w:val="24"/>
                <w:szCs w:val="20"/>
                <w:highlight w:val="none"/>
              </w:rPr>
            </w:pPr>
          </w:p>
        </w:tc>
        <w:tc>
          <w:tcPr>
            <w:tcW w:w="2414" w:type="dxa"/>
          </w:tcPr>
          <w:p w14:paraId="7D01298D">
            <w:pPr>
              <w:jc w:val="center"/>
              <w:rPr>
                <w:rFonts w:ascii="Times New Roman" w:hAnsi="Times New Roman" w:eastAsia="宋体" w:cs="Times New Roman"/>
                <w:b/>
                <w:sz w:val="24"/>
                <w:szCs w:val="20"/>
                <w:highlight w:val="none"/>
              </w:rPr>
            </w:pPr>
          </w:p>
        </w:tc>
        <w:tc>
          <w:tcPr>
            <w:tcW w:w="1608" w:type="dxa"/>
          </w:tcPr>
          <w:p w14:paraId="2F598713">
            <w:pPr>
              <w:jc w:val="center"/>
              <w:rPr>
                <w:rFonts w:ascii="Times New Roman" w:hAnsi="Times New Roman" w:eastAsia="宋体" w:cs="Times New Roman"/>
                <w:b/>
                <w:sz w:val="24"/>
                <w:szCs w:val="20"/>
                <w:highlight w:val="none"/>
              </w:rPr>
            </w:pPr>
          </w:p>
        </w:tc>
      </w:tr>
      <w:tr w14:paraId="319A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7027FD98">
            <w:pPr>
              <w:jc w:val="center"/>
              <w:rPr>
                <w:rFonts w:ascii="Times New Roman" w:hAnsi="Times New Roman" w:eastAsia="宋体" w:cs="Times New Roman"/>
                <w:b/>
                <w:sz w:val="24"/>
                <w:szCs w:val="20"/>
                <w:highlight w:val="none"/>
              </w:rPr>
            </w:pPr>
          </w:p>
        </w:tc>
        <w:tc>
          <w:tcPr>
            <w:tcW w:w="3449" w:type="dxa"/>
          </w:tcPr>
          <w:p w14:paraId="47F65E46">
            <w:pPr>
              <w:jc w:val="center"/>
              <w:rPr>
                <w:rFonts w:ascii="Times New Roman" w:hAnsi="Times New Roman" w:eastAsia="宋体" w:cs="Times New Roman"/>
                <w:b/>
                <w:sz w:val="24"/>
                <w:szCs w:val="20"/>
                <w:highlight w:val="none"/>
              </w:rPr>
            </w:pPr>
          </w:p>
        </w:tc>
        <w:tc>
          <w:tcPr>
            <w:tcW w:w="2414" w:type="dxa"/>
          </w:tcPr>
          <w:p w14:paraId="4AAE51EB">
            <w:pPr>
              <w:jc w:val="center"/>
              <w:rPr>
                <w:rFonts w:ascii="Times New Roman" w:hAnsi="Times New Roman" w:eastAsia="宋体" w:cs="Times New Roman"/>
                <w:b/>
                <w:sz w:val="24"/>
                <w:szCs w:val="20"/>
                <w:highlight w:val="none"/>
              </w:rPr>
            </w:pPr>
          </w:p>
        </w:tc>
        <w:tc>
          <w:tcPr>
            <w:tcW w:w="1608" w:type="dxa"/>
          </w:tcPr>
          <w:p w14:paraId="59FAC52F">
            <w:pPr>
              <w:jc w:val="center"/>
              <w:rPr>
                <w:rFonts w:ascii="Times New Roman" w:hAnsi="Times New Roman" w:eastAsia="宋体" w:cs="Times New Roman"/>
                <w:b/>
                <w:sz w:val="24"/>
                <w:szCs w:val="20"/>
                <w:highlight w:val="none"/>
              </w:rPr>
            </w:pPr>
          </w:p>
        </w:tc>
      </w:tr>
      <w:tr w14:paraId="56A4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9" w:hRule="atLeast"/>
        </w:trPr>
        <w:tc>
          <w:tcPr>
            <w:tcW w:w="1585" w:type="dxa"/>
          </w:tcPr>
          <w:p w14:paraId="69D9286C">
            <w:pPr>
              <w:jc w:val="center"/>
              <w:rPr>
                <w:rFonts w:ascii="Times New Roman" w:hAnsi="Times New Roman" w:eastAsia="宋体" w:cs="Times New Roman"/>
                <w:b/>
                <w:sz w:val="24"/>
                <w:szCs w:val="20"/>
                <w:highlight w:val="none"/>
              </w:rPr>
            </w:pPr>
          </w:p>
        </w:tc>
        <w:tc>
          <w:tcPr>
            <w:tcW w:w="3449" w:type="dxa"/>
          </w:tcPr>
          <w:p w14:paraId="012984EA">
            <w:pPr>
              <w:jc w:val="center"/>
              <w:rPr>
                <w:rFonts w:ascii="Times New Roman" w:hAnsi="Times New Roman" w:eastAsia="宋体" w:cs="Times New Roman"/>
                <w:b/>
                <w:sz w:val="24"/>
                <w:szCs w:val="20"/>
                <w:highlight w:val="none"/>
              </w:rPr>
            </w:pPr>
          </w:p>
        </w:tc>
        <w:tc>
          <w:tcPr>
            <w:tcW w:w="2414" w:type="dxa"/>
          </w:tcPr>
          <w:p w14:paraId="469D35C2">
            <w:pPr>
              <w:jc w:val="center"/>
              <w:rPr>
                <w:rFonts w:ascii="Times New Roman" w:hAnsi="Times New Roman" w:eastAsia="宋体" w:cs="Times New Roman"/>
                <w:b/>
                <w:sz w:val="24"/>
                <w:szCs w:val="20"/>
                <w:highlight w:val="none"/>
              </w:rPr>
            </w:pPr>
          </w:p>
        </w:tc>
        <w:tc>
          <w:tcPr>
            <w:tcW w:w="1608" w:type="dxa"/>
          </w:tcPr>
          <w:p w14:paraId="38C1903B">
            <w:pPr>
              <w:jc w:val="center"/>
              <w:rPr>
                <w:rFonts w:ascii="Times New Roman" w:hAnsi="Times New Roman" w:eastAsia="宋体" w:cs="Times New Roman"/>
                <w:b/>
                <w:sz w:val="24"/>
                <w:szCs w:val="20"/>
                <w:highlight w:val="none"/>
              </w:rPr>
            </w:pPr>
          </w:p>
        </w:tc>
      </w:tr>
      <w:tr w14:paraId="3AC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E83AA72">
            <w:pPr>
              <w:jc w:val="center"/>
              <w:rPr>
                <w:rFonts w:ascii="Times New Roman" w:hAnsi="Times New Roman" w:eastAsia="宋体" w:cs="Times New Roman"/>
                <w:b/>
                <w:sz w:val="24"/>
                <w:szCs w:val="20"/>
                <w:highlight w:val="none"/>
              </w:rPr>
            </w:pPr>
          </w:p>
        </w:tc>
        <w:tc>
          <w:tcPr>
            <w:tcW w:w="3449" w:type="dxa"/>
          </w:tcPr>
          <w:p w14:paraId="472D3C74">
            <w:pPr>
              <w:jc w:val="center"/>
              <w:rPr>
                <w:rFonts w:ascii="Times New Roman" w:hAnsi="Times New Roman" w:eastAsia="宋体" w:cs="Times New Roman"/>
                <w:b/>
                <w:sz w:val="24"/>
                <w:szCs w:val="20"/>
                <w:highlight w:val="none"/>
              </w:rPr>
            </w:pPr>
          </w:p>
        </w:tc>
        <w:tc>
          <w:tcPr>
            <w:tcW w:w="2414" w:type="dxa"/>
          </w:tcPr>
          <w:p w14:paraId="0E1D525C">
            <w:pPr>
              <w:jc w:val="center"/>
              <w:rPr>
                <w:rFonts w:ascii="Times New Roman" w:hAnsi="Times New Roman" w:eastAsia="宋体" w:cs="Times New Roman"/>
                <w:b/>
                <w:sz w:val="24"/>
                <w:szCs w:val="20"/>
                <w:highlight w:val="none"/>
              </w:rPr>
            </w:pPr>
          </w:p>
        </w:tc>
        <w:tc>
          <w:tcPr>
            <w:tcW w:w="1608" w:type="dxa"/>
          </w:tcPr>
          <w:p w14:paraId="1A571301">
            <w:pPr>
              <w:jc w:val="center"/>
              <w:rPr>
                <w:rFonts w:ascii="Times New Roman" w:hAnsi="Times New Roman" w:eastAsia="宋体" w:cs="Times New Roman"/>
                <w:b/>
                <w:sz w:val="24"/>
                <w:szCs w:val="20"/>
                <w:highlight w:val="none"/>
              </w:rPr>
            </w:pPr>
          </w:p>
        </w:tc>
      </w:tr>
      <w:tr w14:paraId="5366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DD6901E">
            <w:pPr>
              <w:jc w:val="center"/>
              <w:rPr>
                <w:rFonts w:ascii="Times New Roman" w:hAnsi="Times New Roman" w:eastAsia="宋体" w:cs="Times New Roman"/>
                <w:b/>
                <w:sz w:val="24"/>
                <w:szCs w:val="20"/>
                <w:highlight w:val="none"/>
              </w:rPr>
            </w:pPr>
          </w:p>
        </w:tc>
        <w:tc>
          <w:tcPr>
            <w:tcW w:w="3449" w:type="dxa"/>
          </w:tcPr>
          <w:p w14:paraId="234C04DE">
            <w:pPr>
              <w:jc w:val="center"/>
              <w:rPr>
                <w:rFonts w:ascii="Times New Roman" w:hAnsi="Times New Roman" w:eastAsia="宋体" w:cs="Times New Roman"/>
                <w:b/>
                <w:sz w:val="24"/>
                <w:szCs w:val="20"/>
                <w:highlight w:val="none"/>
              </w:rPr>
            </w:pPr>
          </w:p>
        </w:tc>
        <w:tc>
          <w:tcPr>
            <w:tcW w:w="2414" w:type="dxa"/>
          </w:tcPr>
          <w:p w14:paraId="07C570BF">
            <w:pPr>
              <w:jc w:val="center"/>
              <w:rPr>
                <w:rFonts w:ascii="Times New Roman" w:hAnsi="Times New Roman" w:eastAsia="宋体" w:cs="Times New Roman"/>
                <w:b/>
                <w:sz w:val="24"/>
                <w:szCs w:val="20"/>
                <w:highlight w:val="none"/>
              </w:rPr>
            </w:pPr>
          </w:p>
        </w:tc>
        <w:tc>
          <w:tcPr>
            <w:tcW w:w="1608" w:type="dxa"/>
          </w:tcPr>
          <w:p w14:paraId="60A40380">
            <w:pPr>
              <w:jc w:val="center"/>
              <w:rPr>
                <w:rFonts w:ascii="Times New Roman" w:hAnsi="Times New Roman" w:eastAsia="宋体" w:cs="Times New Roman"/>
                <w:b/>
                <w:sz w:val="24"/>
                <w:szCs w:val="20"/>
                <w:highlight w:val="none"/>
              </w:rPr>
            </w:pPr>
          </w:p>
        </w:tc>
      </w:tr>
    </w:tbl>
    <w:p w14:paraId="1AE2590D">
      <w:pPr>
        <w:spacing w:line="660" w:lineRule="exact"/>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A23BE95">
      <w:pPr>
        <w:spacing w:line="660" w:lineRule="exact"/>
        <w:rPr>
          <w:rFonts w:ascii="宋体" w:hAnsi="Calibri" w:eastAsia="宋体" w:cs="宋体"/>
          <w:b/>
          <w:bCs/>
          <w:color w:val="000000"/>
          <w:sz w:val="28"/>
          <w:szCs w:val="20"/>
          <w:highlight w:val="none"/>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highlight w:val="none"/>
        </w:rPr>
        <w:t>法定代表人（委托代理人）：（签字）</w:t>
      </w:r>
    </w:p>
    <w:p w14:paraId="4E91CA03">
      <w:pPr>
        <w:pStyle w:val="27"/>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附件6商务条款偏离表</w:t>
      </w:r>
    </w:p>
    <w:p w14:paraId="38D36224">
      <w:pPr>
        <w:spacing w:line="360" w:lineRule="auto"/>
        <w:jc w:val="center"/>
        <w:rPr>
          <w:rFonts w:hint="eastAsia" w:ascii="宋体" w:hAnsi="宋体" w:cs="宋体"/>
          <w:b/>
          <w:bCs/>
          <w:color w:val="000000"/>
          <w:sz w:val="32"/>
          <w:szCs w:val="32"/>
          <w:lang w:val="en-US" w:eastAsia="zh-CN"/>
        </w:rPr>
      </w:pPr>
      <w:r>
        <w:rPr>
          <w:rFonts w:hint="eastAsia" w:ascii="宋体" w:hAnsi="宋体" w:cs="宋体"/>
          <w:b/>
          <w:bCs/>
          <w:color w:val="000000"/>
          <w:sz w:val="32"/>
          <w:szCs w:val="32"/>
          <w:lang w:val="en-US" w:eastAsia="zh-CN"/>
        </w:rPr>
        <w:t>商务条款偏离表</w:t>
      </w:r>
    </w:p>
    <w:tbl>
      <w:tblPr>
        <w:tblStyle w:val="12"/>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66A31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AA7D60">
            <w:pPr>
              <w:jc w:val="center"/>
              <w:rPr>
                <w:rFonts w:hint="default" w:ascii="Times New Roman" w:hAnsi="Times New Roman" w:eastAsia="宋体" w:cs="Times New Roman"/>
                <w:b w:val="0"/>
                <w:bCs w:val="0"/>
                <w:szCs w:val="20"/>
                <w:lang w:val="en-US"/>
              </w:rPr>
            </w:pPr>
            <w:r>
              <w:rPr>
                <w:rFonts w:hint="eastAsia" w:ascii="宋体" w:hAnsi="宋体" w:cs="宋体"/>
                <w:b w:val="0"/>
                <w:bCs w:val="0"/>
                <w:sz w:val="24"/>
                <w:szCs w:val="24"/>
                <w:highlight w:val="none"/>
                <w:u w:val="single"/>
                <w:lang w:val="en-US" w:eastAsia="zh-CN"/>
              </w:rPr>
              <w:t>《重型汽车报》2027年印刷项目</w:t>
            </w:r>
          </w:p>
        </w:tc>
        <w:tc>
          <w:tcPr>
            <w:tcW w:w="2875" w:type="dxa"/>
            <w:tcBorders>
              <w:top w:val="single" w:color="auto" w:sz="4" w:space="0"/>
              <w:left w:val="single" w:color="auto" w:sz="4" w:space="0"/>
              <w:bottom w:val="single" w:color="auto" w:sz="4" w:space="0"/>
              <w:right w:val="single" w:color="auto" w:sz="4" w:space="0"/>
            </w:tcBorders>
            <w:vAlign w:val="center"/>
          </w:tcPr>
          <w:p w14:paraId="11CC7152">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1938DE94">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2EA137BC">
            <w:pPr>
              <w:jc w:val="center"/>
              <w:rPr>
                <w:rFonts w:ascii="Times New Roman" w:hAnsi="Times New Roman" w:eastAsia="宋体" w:cs="Times New Roman"/>
                <w:b/>
                <w:szCs w:val="20"/>
              </w:rPr>
            </w:pPr>
            <w:r>
              <w:rPr>
                <w:rFonts w:hint="eastAsia" w:ascii="宋体" w:hAnsi="宋体" w:eastAsia="宋体" w:cs="宋体"/>
                <w:b/>
                <w:szCs w:val="20"/>
              </w:rPr>
              <w:t>是否偏离</w:t>
            </w:r>
          </w:p>
          <w:p w14:paraId="695C9B64">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5D3B8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63008E0">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51AB607E">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479390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84F2FF5">
            <w:pPr>
              <w:jc w:val="center"/>
              <w:rPr>
                <w:rFonts w:ascii="Times New Roman" w:hAnsi="Times New Roman" w:eastAsia="宋体" w:cs="Times New Roman"/>
                <w:b/>
                <w:szCs w:val="20"/>
              </w:rPr>
            </w:pPr>
          </w:p>
        </w:tc>
      </w:tr>
      <w:tr w14:paraId="0E4AFE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D873810">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C8F3FAA">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72EB4DF">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084D158">
            <w:pPr>
              <w:jc w:val="center"/>
              <w:rPr>
                <w:rFonts w:ascii="Times New Roman" w:hAnsi="Times New Roman" w:eastAsia="宋体" w:cs="Times New Roman"/>
                <w:b/>
                <w:szCs w:val="21"/>
              </w:rPr>
            </w:pPr>
          </w:p>
        </w:tc>
      </w:tr>
      <w:tr w14:paraId="5C0B8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9D4069E">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964D6D4">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0CC919F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1DA3E96">
            <w:pPr>
              <w:jc w:val="center"/>
              <w:rPr>
                <w:rFonts w:ascii="Times New Roman" w:hAnsi="Times New Roman" w:eastAsia="宋体" w:cs="Times New Roman"/>
                <w:b/>
                <w:szCs w:val="20"/>
              </w:rPr>
            </w:pPr>
          </w:p>
        </w:tc>
      </w:tr>
      <w:tr w14:paraId="2D16E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3D5B77B">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9352AA">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FFCFD26">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F93773C">
            <w:pPr>
              <w:jc w:val="center"/>
              <w:rPr>
                <w:rFonts w:ascii="Times New Roman" w:hAnsi="Times New Roman" w:eastAsia="宋体" w:cs="Times New Roman"/>
                <w:b/>
                <w:szCs w:val="21"/>
              </w:rPr>
            </w:pPr>
          </w:p>
          <w:p w14:paraId="2311C360">
            <w:pPr>
              <w:jc w:val="center"/>
              <w:rPr>
                <w:rFonts w:ascii="Times New Roman" w:hAnsi="Times New Roman" w:eastAsia="宋体" w:cs="Times New Roman"/>
                <w:b/>
                <w:szCs w:val="21"/>
              </w:rPr>
            </w:pPr>
          </w:p>
          <w:p w14:paraId="7FD0011A">
            <w:pPr>
              <w:jc w:val="center"/>
              <w:rPr>
                <w:rFonts w:ascii="Times New Roman" w:hAnsi="Times New Roman" w:eastAsia="宋体" w:cs="Times New Roman"/>
                <w:b/>
                <w:szCs w:val="21"/>
              </w:rPr>
            </w:pPr>
          </w:p>
          <w:p w14:paraId="7E133CE2">
            <w:pPr>
              <w:jc w:val="center"/>
              <w:rPr>
                <w:rFonts w:ascii="Times New Roman" w:hAnsi="Times New Roman" w:eastAsia="宋体" w:cs="Times New Roman"/>
                <w:b/>
                <w:szCs w:val="21"/>
              </w:rPr>
            </w:pPr>
          </w:p>
          <w:p w14:paraId="51AC5346">
            <w:pPr>
              <w:jc w:val="center"/>
              <w:rPr>
                <w:rFonts w:ascii="Times New Roman" w:hAnsi="Times New Roman" w:eastAsia="宋体" w:cs="Times New Roman"/>
                <w:b/>
                <w:szCs w:val="21"/>
              </w:rPr>
            </w:pPr>
          </w:p>
          <w:p w14:paraId="2BC45769">
            <w:pPr>
              <w:jc w:val="center"/>
              <w:rPr>
                <w:rFonts w:ascii="Times New Roman" w:hAnsi="Times New Roman" w:eastAsia="宋体" w:cs="Times New Roman"/>
                <w:b/>
                <w:szCs w:val="21"/>
              </w:rPr>
            </w:pPr>
          </w:p>
          <w:p w14:paraId="76CE503C">
            <w:pPr>
              <w:jc w:val="center"/>
              <w:rPr>
                <w:rFonts w:ascii="Times New Roman" w:hAnsi="Times New Roman" w:eastAsia="宋体" w:cs="Times New Roman"/>
                <w:b/>
                <w:szCs w:val="21"/>
              </w:rPr>
            </w:pPr>
          </w:p>
          <w:p w14:paraId="085D6DBC">
            <w:pPr>
              <w:jc w:val="center"/>
              <w:rPr>
                <w:rFonts w:ascii="Times New Roman" w:hAnsi="Times New Roman" w:eastAsia="宋体" w:cs="Times New Roman"/>
                <w:b/>
                <w:szCs w:val="21"/>
              </w:rPr>
            </w:pPr>
          </w:p>
          <w:p w14:paraId="1571192F">
            <w:pPr>
              <w:jc w:val="center"/>
              <w:rPr>
                <w:rFonts w:ascii="Times New Roman" w:hAnsi="Times New Roman" w:eastAsia="宋体" w:cs="Times New Roman"/>
                <w:b/>
                <w:szCs w:val="21"/>
              </w:rPr>
            </w:pPr>
          </w:p>
          <w:p w14:paraId="7D15E4F6">
            <w:pPr>
              <w:jc w:val="center"/>
              <w:rPr>
                <w:rFonts w:ascii="Times New Roman" w:hAnsi="Times New Roman" w:eastAsia="宋体" w:cs="Times New Roman"/>
                <w:b/>
                <w:szCs w:val="21"/>
              </w:rPr>
            </w:pPr>
          </w:p>
          <w:p w14:paraId="4542552C">
            <w:pPr>
              <w:jc w:val="center"/>
              <w:rPr>
                <w:rFonts w:ascii="Times New Roman" w:hAnsi="Times New Roman" w:eastAsia="宋体" w:cs="Times New Roman"/>
                <w:b/>
                <w:szCs w:val="21"/>
              </w:rPr>
            </w:pPr>
          </w:p>
          <w:p w14:paraId="53820639">
            <w:pPr>
              <w:jc w:val="center"/>
              <w:rPr>
                <w:rFonts w:ascii="Times New Roman" w:hAnsi="Times New Roman" w:eastAsia="宋体" w:cs="Times New Roman"/>
                <w:b/>
                <w:szCs w:val="21"/>
              </w:rPr>
            </w:pPr>
          </w:p>
          <w:p w14:paraId="58C55B20">
            <w:pPr>
              <w:jc w:val="center"/>
              <w:rPr>
                <w:rFonts w:ascii="Times New Roman" w:hAnsi="Times New Roman" w:eastAsia="宋体" w:cs="Times New Roman"/>
                <w:b/>
                <w:szCs w:val="21"/>
              </w:rPr>
            </w:pPr>
          </w:p>
          <w:p w14:paraId="0214A778">
            <w:pPr>
              <w:jc w:val="center"/>
              <w:rPr>
                <w:rFonts w:ascii="Times New Roman" w:hAnsi="Times New Roman" w:eastAsia="宋体" w:cs="Times New Roman"/>
                <w:b/>
                <w:szCs w:val="21"/>
              </w:rPr>
            </w:pPr>
          </w:p>
          <w:p w14:paraId="6EFAB8EF">
            <w:pPr>
              <w:jc w:val="center"/>
              <w:rPr>
                <w:rFonts w:ascii="Times New Roman" w:hAnsi="Times New Roman" w:eastAsia="宋体" w:cs="Times New Roman"/>
                <w:b/>
                <w:szCs w:val="21"/>
              </w:rPr>
            </w:pPr>
          </w:p>
          <w:p w14:paraId="576EE7F4">
            <w:pPr>
              <w:jc w:val="center"/>
              <w:rPr>
                <w:rFonts w:ascii="Times New Roman" w:hAnsi="Times New Roman" w:eastAsia="宋体" w:cs="Times New Roman"/>
                <w:b/>
                <w:szCs w:val="21"/>
              </w:rPr>
            </w:pPr>
          </w:p>
          <w:p w14:paraId="1C6A0C58">
            <w:pPr>
              <w:jc w:val="center"/>
              <w:rPr>
                <w:rFonts w:ascii="Times New Roman" w:hAnsi="Times New Roman" w:eastAsia="宋体" w:cs="Times New Roman"/>
                <w:b/>
                <w:szCs w:val="20"/>
              </w:rPr>
            </w:pPr>
          </w:p>
        </w:tc>
      </w:tr>
      <w:tr w14:paraId="026C4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568D7A9">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6D9879D6">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69E4C958">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66DF1D53">
            <w:pPr>
              <w:jc w:val="center"/>
              <w:rPr>
                <w:rFonts w:ascii="Times New Roman" w:hAnsi="Times New Roman" w:eastAsia="宋体" w:cs="Times New Roman"/>
                <w:b/>
                <w:szCs w:val="20"/>
              </w:rPr>
            </w:pPr>
          </w:p>
        </w:tc>
      </w:tr>
    </w:tbl>
    <w:p w14:paraId="1D46FAD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2ACA508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14A64866">
      <w:pPr>
        <w:pStyle w:val="5"/>
        <w:rPr>
          <w:rFonts w:hint="default"/>
          <w:lang w:val="en-US" w:eastAsia="zh-CN"/>
        </w:rPr>
      </w:pPr>
    </w:p>
    <w:p w14:paraId="0D0184EF">
      <w:pPr>
        <w:pStyle w:val="28"/>
        <w:rPr>
          <w:rFonts w:hint="default" w:hAnsi="宋体"/>
          <w:sz w:val="24"/>
          <w:lang w:val="en-US"/>
        </w:rPr>
      </w:pPr>
    </w:p>
    <w:p w14:paraId="17A40735">
      <w:pPr>
        <w:rPr>
          <w:rFonts w:hint="eastAsia"/>
          <w:lang w:val="en-US" w:eastAsia="zh-CN"/>
        </w:rPr>
      </w:pPr>
    </w:p>
    <w:p w14:paraId="690158EE">
      <w:pPr>
        <w:rPr>
          <w:rFonts w:hint="default" w:hAnsi="宋体"/>
          <w:sz w:val="24"/>
          <w:lang w:val="en-US"/>
        </w:rPr>
      </w:pPr>
    </w:p>
    <w:p w14:paraId="6FEFF112">
      <w:pPr>
        <w:pStyle w:val="27"/>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附件9 SRM系统供应商用户手册</w:t>
      </w:r>
    </w:p>
    <w:p w14:paraId="0134D920">
      <w:pPr>
        <w:adjustRightInd w:val="0"/>
        <w:snapToGrid w:val="0"/>
        <w:spacing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浏览器中输入地址;</w:t>
      </w:r>
    </w:p>
    <w:p w14:paraId="637A60B0">
      <w:pPr>
        <w:adjustRightInd w:val="0"/>
        <w:snapToGrid w:val="0"/>
        <w:spacing w:line="360" w:lineRule="auto"/>
        <w:jc w:val="left"/>
        <w:rPr>
          <w:rFonts w:hint="eastAsia" w:ascii="微软雅黑" w:hAnsi="微软雅黑" w:eastAsia="微软雅黑" w:cs="微软雅黑"/>
          <w:sz w:val="24"/>
          <w:szCs w:val="24"/>
        </w:rPr>
      </w:pPr>
      <w:r>
        <w:fldChar w:fldCharType="begin"/>
      </w:r>
      <w:r>
        <w:instrText xml:space="preserve"> HYPERLINK "http://ecaitong.sinotruk.com:8012/" \l "/login" \t "dlt" </w:instrText>
      </w:r>
      <w:r>
        <w:fldChar w:fldCharType="separate"/>
      </w:r>
      <w:r>
        <w:rPr>
          <w:rFonts w:hint="eastAsia" w:ascii="微软雅黑" w:hAnsi="微软雅黑" w:eastAsia="微软雅黑" w:cs="微软雅黑"/>
          <w:sz w:val="24"/>
          <w:szCs w:val="24"/>
        </w:rPr>
        <w:t>https://ecaitong.sinotruk.com:8012/#/login</w:t>
      </w:r>
      <w:r>
        <w:rPr>
          <w:rFonts w:hint="eastAsia" w:ascii="微软雅黑" w:hAnsi="微软雅黑" w:eastAsia="微软雅黑" w:cs="微软雅黑"/>
          <w:sz w:val="24"/>
          <w:szCs w:val="24"/>
        </w:rPr>
        <w:fldChar w:fldCharType="end"/>
      </w:r>
      <w:r>
        <w:rPr>
          <w:rFonts w:hint="eastAsia" w:ascii="微软雅黑" w:hAnsi="微软雅黑" w:eastAsia="微软雅黑" w:cs="微软雅黑"/>
          <w:sz w:val="24"/>
          <w:szCs w:val="24"/>
        </w:rPr>
        <w:br w:type="textWrapping"/>
      </w:r>
      <w:r>
        <w:rPr>
          <w:rFonts w:hint="eastAsia" w:ascii="微软雅黑" w:hAnsi="微软雅黑" w:eastAsia="微软雅黑" w:cs="微软雅黑"/>
          <w:b/>
          <w:bCs/>
          <w:sz w:val="24"/>
          <w:szCs w:val="24"/>
        </w:rPr>
        <w:t>注：登录页面可下载《供应商用户手册》</w:t>
      </w:r>
    </w:p>
    <w:p w14:paraId="68DC2564">
      <w:pPr>
        <w:adjustRightInd w:val="0"/>
        <w:snapToGrid w:val="0"/>
        <w:spacing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1.点击立即注册</w:t>
      </w:r>
    </w:p>
    <w:p w14:paraId="60935062">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933065"/>
            <wp:effectExtent l="0" t="0" r="8890" b="2540"/>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0E7F9E64">
      <w:pPr>
        <w:spacing w:line="360" w:lineRule="auto"/>
        <w:rPr>
          <w:rFonts w:hint="eastAsia" w:ascii="微软雅黑" w:hAnsi="微软雅黑" w:eastAsia="微软雅黑" w:cs="微软雅黑"/>
          <w:sz w:val="24"/>
          <w:szCs w:val="28"/>
        </w:rPr>
      </w:pPr>
      <w:r>
        <w:rPr>
          <w:rFonts w:hint="eastAsia" w:ascii="微软雅黑" w:hAnsi="微软雅黑" w:eastAsia="微软雅黑" w:cs="微软雅黑"/>
          <w:color w:val="000000"/>
          <w:sz w:val="24"/>
          <w:szCs w:val="28"/>
        </w:rPr>
        <w:t>2.填写手机号码（没有注册过的）</w:t>
      </w:r>
    </w:p>
    <w:p w14:paraId="50EC0D30">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766695"/>
            <wp:effectExtent l="0" t="0" r="8890" b="825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0AC2C062">
      <w:pPr>
        <w:spacing w:line="360" w:lineRule="auto"/>
        <w:rPr>
          <w:rFonts w:hint="eastAsia" w:ascii="微软雅黑" w:hAnsi="微软雅黑" w:eastAsia="微软雅黑" w:cs="微软雅黑"/>
          <w:sz w:val="24"/>
          <w:szCs w:val="28"/>
        </w:rPr>
      </w:pPr>
      <w:r>
        <w:rPr>
          <w:rFonts w:hint="eastAsia" w:ascii="微软雅黑" w:hAnsi="微软雅黑" w:eastAsia="微软雅黑" w:cs="微软雅黑"/>
          <w:color w:val="000000"/>
          <w:sz w:val="24"/>
          <w:szCs w:val="28"/>
        </w:rPr>
        <w:t>3.注册成功登录这个手机号码的账号进入系统，点击供应商注册</w:t>
      </w:r>
    </w:p>
    <w:p w14:paraId="6C5B3030">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69565"/>
            <wp:effectExtent l="0" t="0" r="8890" b="7620"/>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0154914F">
      <w:pPr>
        <w:spacing w:line="360" w:lineRule="auto"/>
        <w:rPr>
          <w:rFonts w:hint="eastAsia" w:ascii="微软雅黑" w:hAnsi="微软雅黑" w:eastAsia="微软雅黑" w:cs="微软雅黑"/>
          <w:sz w:val="24"/>
          <w:szCs w:val="28"/>
        </w:rPr>
      </w:pPr>
      <w:r>
        <w:rPr>
          <w:rFonts w:hint="eastAsia" w:ascii="微软雅黑" w:hAnsi="微软雅黑" w:eastAsia="微软雅黑" w:cs="微软雅黑"/>
          <w:color w:val="000000"/>
          <w:sz w:val="24"/>
          <w:szCs w:val="28"/>
        </w:rPr>
        <w:t>4.点击新增</w:t>
      </w:r>
    </w:p>
    <w:p w14:paraId="24573E85">
      <w:pPr>
        <w:snapToGrid w:val="0"/>
        <w:spacing w:line="312" w:lineRule="auto"/>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53055"/>
            <wp:effectExtent l="0" t="0" r="8890" b="952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42063E59">
      <w:pPr>
        <w:numPr>
          <w:ilvl w:val="0"/>
          <w:numId w:val="20"/>
        </w:numPr>
        <w:spacing w:line="360" w:lineRule="auto"/>
        <w:rPr>
          <w:rFonts w:hint="eastAsia" w:ascii="微软雅黑" w:hAnsi="微软雅黑" w:eastAsia="微软雅黑" w:cs="微软雅黑"/>
          <w:color w:val="000000"/>
          <w:sz w:val="24"/>
          <w:szCs w:val="28"/>
        </w:rPr>
      </w:pPr>
      <w:r>
        <w:rPr>
          <w:rFonts w:hint="eastAsia" w:ascii="微软雅黑" w:hAnsi="微软雅黑" w:eastAsia="微软雅黑" w:cs="微软雅黑"/>
          <w:color w:val="000000"/>
          <w:sz w:val="24"/>
          <w:szCs w:val="28"/>
        </w:rPr>
        <w:t>按要求填写所有信息，注意非生产类要填写合作单位，最后提交审批</w:t>
      </w:r>
    </w:p>
    <w:p w14:paraId="0492ACFF">
      <w:pPr>
        <w:pStyle w:val="6"/>
        <w:rPr>
          <w:rFonts w:hint="eastAsia" w:ascii="微软雅黑" w:hAnsi="微软雅黑" w:eastAsia="微软雅黑" w:cs="微软雅黑"/>
        </w:rPr>
      </w:pPr>
    </w:p>
    <w:p w14:paraId="0A03678A">
      <w:pPr>
        <w:rPr>
          <w:rFonts w:hint="eastAsia" w:ascii="微软雅黑" w:hAnsi="微软雅黑" w:eastAsia="微软雅黑" w:cs="微软雅黑"/>
          <w:color w:val="000000"/>
        </w:rPr>
      </w:pPr>
    </w:p>
    <w:p w14:paraId="3FA7D5C0">
      <w:pPr>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09875"/>
            <wp:effectExtent l="0" t="0" r="8890" b="8890"/>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1" cstate="print"/>
                    <a:srcRect/>
                    <a:stretch>
                      <a:fillRect/>
                    </a:stretch>
                  </pic:blipFill>
                  <pic:spPr>
                    <a:xfrm>
                      <a:off x="0" y="0"/>
                      <a:ext cx="5760085" cy="2809875"/>
                    </a:xfrm>
                    <a:prstGeom prst="rect">
                      <a:avLst/>
                    </a:prstGeom>
                  </pic:spPr>
                </pic:pic>
              </a:graphicData>
            </a:graphic>
          </wp:inline>
        </w:drawing>
      </w:r>
    </w:p>
    <w:p w14:paraId="24BFFE91">
      <w:pPr>
        <w:pStyle w:val="6"/>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5760085" cy="2820035"/>
            <wp:effectExtent l="0" t="0" r="8890" b="13335"/>
            <wp:docPr id="1031" name="picture" descr="descript"/>
            <wp:cNvGraphicFramePr/>
            <a:graphic xmlns:a="http://schemas.openxmlformats.org/drawingml/2006/main">
              <a:graphicData uri="http://schemas.openxmlformats.org/drawingml/2006/picture">
                <pic:pic xmlns:pic="http://schemas.openxmlformats.org/drawingml/2006/picture">
                  <pic:nvPicPr>
                    <pic:cNvPr id="1031" name="picture" descr="descript"/>
                    <pic:cNvPicPr/>
                  </pic:nvPicPr>
                  <pic:blipFill>
                    <a:blip r:embed="rId22" cstate="print"/>
                    <a:srcRect/>
                    <a:stretch>
                      <a:fillRect/>
                    </a:stretch>
                  </pic:blipFill>
                  <pic:spPr>
                    <a:xfrm>
                      <a:off x="0" y="0"/>
                      <a:ext cx="5760085" cy="2820035"/>
                    </a:xfrm>
                    <a:prstGeom prst="rect">
                      <a:avLst/>
                    </a:prstGeom>
                  </pic:spPr>
                </pic:pic>
              </a:graphicData>
            </a:graphic>
          </wp:inline>
        </w:drawing>
      </w:r>
    </w:p>
    <w:p w14:paraId="7495D604">
      <w:pPr>
        <w:pStyle w:val="6"/>
        <w:rPr>
          <w:rFonts w:hint="eastAsia" w:ascii="微软雅黑" w:hAnsi="微软雅黑" w:eastAsia="微软雅黑" w:cs="微软雅黑"/>
        </w:rPr>
      </w:pPr>
    </w:p>
    <w:p w14:paraId="33405363">
      <w:pPr>
        <w:pStyle w:val="6"/>
        <w:rPr>
          <w:rFonts w:hint="eastAsia" w:ascii="微软雅黑" w:hAnsi="微软雅黑" w:eastAsia="微软雅黑" w:cs="微软雅黑"/>
        </w:rPr>
      </w:pPr>
    </w:p>
    <w:p w14:paraId="45CBC139">
      <w:pPr>
        <w:rPr>
          <w:rFonts w:hint="eastAsia" w:ascii="微软雅黑" w:hAnsi="微软雅黑" w:eastAsia="微软雅黑" w:cs="微软雅黑"/>
          <w:b/>
          <w:bCs/>
          <w:color w:val="000000"/>
          <w:sz w:val="24"/>
          <w:szCs w:val="28"/>
        </w:rPr>
      </w:pPr>
      <w:r>
        <w:rPr>
          <w:rFonts w:hint="eastAsia" w:ascii="微软雅黑" w:hAnsi="微软雅黑" w:eastAsia="微软雅黑" w:cs="微软雅黑"/>
          <w:b/>
          <w:bCs/>
          <w:color w:val="000000"/>
          <w:sz w:val="24"/>
          <w:szCs w:val="28"/>
        </w:rPr>
        <w:t>注：</w:t>
      </w:r>
    </w:p>
    <w:p w14:paraId="34C093C1">
      <w:pPr>
        <w:rPr>
          <w:rFonts w:hint="eastAsia" w:ascii="微软雅黑" w:hAnsi="微软雅黑" w:eastAsia="微软雅黑" w:cs="微软雅黑"/>
          <w:b/>
          <w:bCs/>
          <w:color w:val="000000"/>
          <w:sz w:val="24"/>
          <w:szCs w:val="28"/>
        </w:rPr>
      </w:pPr>
      <w:r>
        <w:rPr>
          <w:rFonts w:hint="eastAsia" w:ascii="微软雅黑" w:hAnsi="微软雅黑" w:eastAsia="微软雅黑" w:cs="微软雅黑"/>
          <w:b/>
          <w:bCs/>
          <w:color w:val="000000"/>
          <w:sz w:val="24"/>
          <w:szCs w:val="28"/>
        </w:rPr>
        <w:t>1.</w:t>
      </w:r>
      <w:r>
        <w:rPr>
          <w:rFonts w:hint="eastAsia" w:ascii="微软雅黑" w:hAnsi="微软雅黑" w:eastAsia="微软雅黑" w:cs="微软雅黑"/>
          <w:b/>
          <w:bCs/>
        </w:rPr>
        <w:t>“项目名称”和“采购形式编号”见招标文件内容；</w:t>
      </w:r>
    </w:p>
    <w:p w14:paraId="5AF12A1B">
      <w:pPr>
        <w:pStyle w:val="6"/>
        <w:rPr>
          <w:rFonts w:hint="eastAsia" w:ascii="微软雅黑" w:hAnsi="微软雅黑" w:eastAsia="微软雅黑" w:cs="微软雅黑"/>
          <w:b/>
          <w:bCs/>
        </w:rPr>
      </w:pPr>
      <w:r>
        <w:rPr>
          <w:rFonts w:hint="eastAsia" w:ascii="微软雅黑" w:hAnsi="微软雅黑" w:eastAsia="微软雅黑" w:cs="微软雅黑"/>
          <w:b/>
          <w:bCs/>
        </w:rPr>
        <w:t>2.配套能力“供货类别”填“直管单位非生产招标/ 信息化 / 信息化技术服务”，业务主管部门选择“数智化转型发展部”。</w:t>
      </w:r>
    </w:p>
    <w:p w14:paraId="3B419E81">
      <w:pPr>
        <w:spacing w:line="360" w:lineRule="auto"/>
      </w:pPr>
    </w:p>
    <w:p w14:paraId="4E35C53D">
      <w:pPr>
        <w:rPr>
          <w:rFonts w:hint="default" w:hAnsi="宋体"/>
          <w:sz w:val="24"/>
          <w:lang w:val="en-US"/>
        </w:rPr>
      </w:pPr>
    </w:p>
    <w:p w14:paraId="68737F05">
      <w:pPr>
        <w:pStyle w:val="6"/>
        <w:numPr>
          <w:ilvl w:val="0"/>
          <w:numId w:val="0"/>
        </w:numPr>
        <w:jc w:val="both"/>
        <w:rPr>
          <w:rFonts w:hint="eastAsia" w:ascii="黑体" w:hAnsi="黑体" w:eastAsia="黑体" w:cs="黑体"/>
          <w:sz w:val="36"/>
          <w:szCs w:val="36"/>
          <w:lang w:val="en-US" w:eastAsia="zh-CN"/>
        </w:rPr>
      </w:pPr>
    </w:p>
    <w:sectPr>
      <w:headerReference r:id="rId9" w:type="first"/>
      <w:footerReference r:id="rId11" w:type="first"/>
      <w:footerReference r:id="rId10"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4D609">
    <w:pPr>
      <w:pStyle w:val="9"/>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96E3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7C96E3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F8AD1">
    <w:pPr>
      <w:pStyle w:val="9"/>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EC93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6DEC93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54</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06123">
    <w:pPr>
      <w:pStyle w:val="9"/>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9E7C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A79E7C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639E0">
    <w:pPr>
      <w:pStyle w:val="9"/>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2DC5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DF2DC5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55</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9992">
    <w:pPr>
      <w:pStyle w:val="9"/>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0C30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2FA0C30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F2550">
    <w:pPr>
      <w:pStyle w:val="9"/>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5895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185895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F351B">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0DB97">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2640DB97">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9"/>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5531A4"/>
    <w:multiLevelType w:val="singleLevel"/>
    <w:tmpl w:val="A55531A4"/>
    <w:lvl w:ilvl="0" w:tentative="0">
      <w:start w:val="1"/>
      <w:numFmt w:val="decimal"/>
      <w:suff w:val="nothing"/>
      <w:lvlText w:val="%1、"/>
      <w:lvlJc w:val="left"/>
    </w:lvl>
  </w:abstractNum>
  <w:abstractNum w:abstractNumId="1">
    <w:nsid w:val="B20830A4"/>
    <w:multiLevelType w:val="multilevel"/>
    <w:tmpl w:val="B20830A4"/>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suff w:val="nothing"/>
      <w:lvlText w:val="%1.%2.%3."/>
      <w:lvlJc w:val="left"/>
      <w:pPr>
        <w:ind w:left="0" w:leftChars="0" w:firstLine="0" w:firstLineChars="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628A096"/>
    <w:multiLevelType w:val="singleLevel"/>
    <w:tmpl w:val="C628A096"/>
    <w:lvl w:ilvl="0" w:tentative="0">
      <w:start w:val="8"/>
      <w:numFmt w:val="decimal"/>
      <w:lvlText w:val="%1."/>
      <w:lvlJc w:val="left"/>
      <w:pPr>
        <w:tabs>
          <w:tab w:val="left" w:pos="312"/>
        </w:tabs>
      </w:pPr>
    </w:lvl>
  </w:abstractNum>
  <w:abstractNum w:abstractNumId="5">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6">
    <w:nsid w:val="00000003"/>
    <w:multiLevelType w:val="singleLevel"/>
    <w:tmpl w:val="00000003"/>
    <w:lvl w:ilvl="0" w:tentative="0">
      <w:start w:val="5"/>
      <w:numFmt w:val="decimal"/>
      <w:lvlText w:val="%1."/>
      <w:lvlJc w:val="left"/>
      <w:pPr>
        <w:tabs>
          <w:tab w:val="left" w:pos="312"/>
        </w:tabs>
      </w:pPr>
    </w:lvl>
  </w:abstractNum>
  <w:abstractNum w:abstractNumId="7">
    <w:nsid w:val="06882CE3"/>
    <w:multiLevelType w:val="multilevel"/>
    <w:tmpl w:val="06882CE3"/>
    <w:lvl w:ilvl="0" w:tentative="0">
      <w:start w:val="1"/>
      <w:numFmt w:val="decimal"/>
      <w:pStyle w:val="29"/>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8">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9">
    <w:nsid w:val="12D9A626"/>
    <w:multiLevelType w:val="singleLevel"/>
    <w:tmpl w:val="12D9A626"/>
    <w:lvl w:ilvl="0" w:tentative="0">
      <w:start w:val="3"/>
      <w:numFmt w:val="chineseCounting"/>
      <w:suff w:val="nothing"/>
      <w:lvlText w:val="第%1部分　"/>
      <w:lvlJc w:val="left"/>
      <w:rPr>
        <w:rFonts w:hint="eastAsia"/>
      </w:rPr>
    </w:lvl>
  </w:abstractNum>
  <w:abstractNum w:abstractNumId="10">
    <w:nsid w:val="199F58C0"/>
    <w:multiLevelType w:val="multilevel"/>
    <w:tmpl w:val="199F58C0"/>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1">
    <w:nsid w:val="1B2683BF"/>
    <w:multiLevelType w:val="singleLevel"/>
    <w:tmpl w:val="1B2683BF"/>
    <w:lvl w:ilvl="0" w:tentative="0">
      <w:start w:val="2"/>
      <w:numFmt w:val="chineseCounting"/>
      <w:suff w:val="nothing"/>
      <w:lvlText w:val="第%1部分　"/>
      <w:lvlJc w:val="left"/>
      <w:rPr>
        <w:rFonts w:hint="eastAsia"/>
      </w:rPr>
    </w:lvl>
  </w:abstractNum>
  <w:abstractNum w:abstractNumId="12">
    <w:nsid w:val="2B8672BE"/>
    <w:multiLevelType w:val="singleLevel"/>
    <w:tmpl w:val="2B8672BE"/>
    <w:lvl w:ilvl="0" w:tentative="0">
      <w:start w:val="1"/>
      <w:numFmt w:val="decimal"/>
      <w:lvlText w:val="%1."/>
      <w:lvlJc w:val="left"/>
      <w:pPr>
        <w:ind w:left="425" w:hanging="425"/>
      </w:pPr>
      <w:rPr>
        <w:rFonts w:hint="default"/>
      </w:rPr>
    </w:lvl>
  </w:abstractNum>
  <w:abstractNum w:abstractNumId="13">
    <w:nsid w:val="35994D84"/>
    <w:multiLevelType w:val="singleLevel"/>
    <w:tmpl w:val="35994D84"/>
    <w:lvl w:ilvl="0" w:tentative="0">
      <w:start w:val="3"/>
      <w:numFmt w:val="chineseCounting"/>
      <w:suff w:val="nothing"/>
      <w:lvlText w:val="%1、"/>
      <w:lvlJc w:val="left"/>
      <w:rPr>
        <w:rFonts w:hint="eastAsia"/>
      </w:rPr>
    </w:lvl>
  </w:abstractNum>
  <w:abstractNum w:abstractNumId="14">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5">
    <w:nsid w:val="56D20133"/>
    <w:multiLevelType w:val="multilevel"/>
    <w:tmpl w:val="56D20133"/>
    <w:lvl w:ilvl="0" w:tentative="0">
      <w:start w:val="1"/>
      <w:numFmt w:val="chineseCountingThousand"/>
      <w:pStyle w:val="26"/>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6">
    <w:nsid w:val="5A6836EF"/>
    <w:multiLevelType w:val="singleLevel"/>
    <w:tmpl w:val="5A6836EF"/>
    <w:lvl w:ilvl="0" w:tentative="0">
      <w:start w:val="1"/>
      <w:numFmt w:val="decimal"/>
      <w:suff w:val="nothing"/>
      <w:lvlText w:val="%1."/>
      <w:lvlJc w:val="left"/>
      <w:pPr>
        <w:ind w:left="0" w:firstLine="0"/>
      </w:pPr>
    </w:lvl>
  </w:abstractNum>
  <w:abstractNum w:abstractNumId="17">
    <w:nsid w:val="5EEE3A7E"/>
    <w:multiLevelType w:val="multilevel"/>
    <w:tmpl w:val="5EEE3A7E"/>
    <w:lvl w:ilvl="0" w:tentative="0">
      <w:start w:val="1"/>
      <w:numFmt w:val="bullet"/>
      <w:suff w:val="nothing"/>
      <w:lvlText w:val=""/>
      <w:lvlJc w:val="left"/>
      <w:pPr>
        <w:ind w:left="0" w:leftChars="0" w:firstLine="0" w:firstLineChars="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8">
    <w:nsid w:val="656A6EAE"/>
    <w:multiLevelType w:val="multilevel"/>
    <w:tmpl w:val="656A6EAE"/>
    <w:lvl w:ilvl="0" w:tentative="0">
      <w:start w:val="1"/>
      <w:numFmt w:val="chineseCountingThousand"/>
      <w:pStyle w:val="27"/>
      <w:suff w:val="nothing"/>
      <w:lvlText w:val="%1、"/>
      <w:lvlJc w:val="left"/>
      <w:pPr>
        <w:ind w:left="3392" w:hanging="420"/>
      </w:pPr>
      <w:rPr>
        <w:rFonts w:hint="eastAsia" w:ascii="黑体" w:hAnsi="黑体" w:eastAsia="黑体"/>
        <w:sz w:val="28"/>
        <w:szCs w:val="28"/>
        <w:highlight w:val="none"/>
        <w:lang w:val="en-US"/>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num w:numId="1">
    <w:abstractNumId w:val="15"/>
  </w:num>
  <w:num w:numId="2">
    <w:abstractNumId w:val="18"/>
  </w:num>
  <w:num w:numId="3">
    <w:abstractNumId w:val="7"/>
  </w:num>
  <w:num w:numId="4">
    <w:abstractNumId w:val="4"/>
  </w:num>
  <w:num w:numId="5">
    <w:abstractNumId w:val="13"/>
  </w:num>
  <w:num w:numId="6">
    <w:abstractNumId w:val="3"/>
  </w:num>
  <w:num w:numId="7">
    <w:abstractNumId w:val="8"/>
  </w:num>
  <w:num w:numId="8">
    <w:abstractNumId w:val="10"/>
  </w:num>
  <w:num w:numId="9">
    <w:abstractNumId w:val="2"/>
  </w:num>
  <w:num w:numId="10">
    <w:abstractNumId w:val="17"/>
  </w:num>
  <w:num w:numId="11">
    <w:abstractNumId w:val="5"/>
  </w:num>
  <w:num w:numId="12">
    <w:abstractNumId w:val="0"/>
  </w:num>
  <w:num w:numId="13">
    <w:abstractNumId w:val="1"/>
  </w:num>
  <w:num w:numId="14">
    <w:abstractNumId w:val="14"/>
  </w:num>
  <w:num w:numId="15">
    <w:abstractNumId w:val="16"/>
  </w:num>
  <w:num w:numId="16">
    <w:abstractNumId w:val="12"/>
  </w:num>
  <w:num w:numId="17">
    <w:abstractNumId w:val="11"/>
  </w:num>
  <w:num w:numId="18">
    <w:abstractNumId w:val="9"/>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56A"/>
    <w:rsid w:val="00014CDA"/>
    <w:rsid w:val="00047296"/>
    <w:rsid w:val="00067FE8"/>
    <w:rsid w:val="00076117"/>
    <w:rsid w:val="000803F4"/>
    <w:rsid w:val="000844E0"/>
    <w:rsid w:val="00094CDA"/>
    <w:rsid w:val="00095A13"/>
    <w:rsid w:val="000A168F"/>
    <w:rsid w:val="000A65B3"/>
    <w:rsid w:val="000B67BF"/>
    <w:rsid w:val="000E0FFE"/>
    <w:rsid w:val="000E633E"/>
    <w:rsid w:val="000F1A4D"/>
    <w:rsid w:val="000F6F18"/>
    <w:rsid w:val="00112475"/>
    <w:rsid w:val="00116B2E"/>
    <w:rsid w:val="00146E7A"/>
    <w:rsid w:val="001644E6"/>
    <w:rsid w:val="001652A3"/>
    <w:rsid w:val="00166CAB"/>
    <w:rsid w:val="001673E1"/>
    <w:rsid w:val="0018158C"/>
    <w:rsid w:val="00182AEF"/>
    <w:rsid w:val="001915F5"/>
    <w:rsid w:val="001A337C"/>
    <w:rsid w:val="001B3CBC"/>
    <w:rsid w:val="001B6911"/>
    <w:rsid w:val="001C6976"/>
    <w:rsid w:val="001C7162"/>
    <w:rsid w:val="001D7566"/>
    <w:rsid w:val="002034CE"/>
    <w:rsid w:val="00215AB7"/>
    <w:rsid w:val="00222987"/>
    <w:rsid w:val="002262A1"/>
    <w:rsid w:val="00271805"/>
    <w:rsid w:val="0027265E"/>
    <w:rsid w:val="002903AD"/>
    <w:rsid w:val="00297632"/>
    <w:rsid w:val="002A5E0C"/>
    <w:rsid w:val="002B1CDA"/>
    <w:rsid w:val="002B4226"/>
    <w:rsid w:val="002B51A4"/>
    <w:rsid w:val="002B556A"/>
    <w:rsid w:val="002B55A3"/>
    <w:rsid w:val="003048FE"/>
    <w:rsid w:val="00305EEE"/>
    <w:rsid w:val="00311EF5"/>
    <w:rsid w:val="00330238"/>
    <w:rsid w:val="00331DC6"/>
    <w:rsid w:val="00343DFC"/>
    <w:rsid w:val="0036372A"/>
    <w:rsid w:val="00365B1F"/>
    <w:rsid w:val="00392E37"/>
    <w:rsid w:val="003B48C2"/>
    <w:rsid w:val="003E0923"/>
    <w:rsid w:val="00404658"/>
    <w:rsid w:val="00407E5E"/>
    <w:rsid w:val="00416A0C"/>
    <w:rsid w:val="00417CF3"/>
    <w:rsid w:val="0042083E"/>
    <w:rsid w:val="004311BB"/>
    <w:rsid w:val="00463631"/>
    <w:rsid w:val="0048774F"/>
    <w:rsid w:val="004C1445"/>
    <w:rsid w:val="004D3D6B"/>
    <w:rsid w:val="004D4FBC"/>
    <w:rsid w:val="004E2A27"/>
    <w:rsid w:val="004E3B35"/>
    <w:rsid w:val="004E6D21"/>
    <w:rsid w:val="004E746B"/>
    <w:rsid w:val="004F51C5"/>
    <w:rsid w:val="004F74BF"/>
    <w:rsid w:val="00512B4A"/>
    <w:rsid w:val="0051583A"/>
    <w:rsid w:val="00534EC2"/>
    <w:rsid w:val="00534EF2"/>
    <w:rsid w:val="00562101"/>
    <w:rsid w:val="00572B54"/>
    <w:rsid w:val="00584E7F"/>
    <w:rsid w:val="005B3B36"/>
    <w:rsid w:val="005C0465"/>
    <w:rsid w:val="005C625F"/>
    <w:rsid w:val="005E1792"/>
    <w:rsid w:val="006154EC"/>
    <w:rsid w:val="00630F99"/>
    <w:rsid w:val="00636F66"/>
    <w:rsid w:val="00645E25"/>
    <w:rsid w:val="00646BD4"/>
    <w:rsid w:val="00663BDA"/>
    <w:rsid w:val="00692E43"/>
    <w:rsid w:val="006B687F"/>
    <w:rsid w:val="006F69A6"/>
    <w:rsid w:val="00706991"/>
    <w:rsid w:val="007137E8"/>
    <w:rsid w:val="007402FB"/>
    <w:rsid w:val="0074562C"/>
    <w:rsid w:val="00745ABF"/>
    <w:rsid w:val="007644CE"/>
    <w:rsid w:val="00766F65"/>
    <w:rsid w:val="007717C9"/>
    <w:rsid w:val="007B27B8"/>
    <w:rsid w:val="007B513B"/>
    <w:rsid w:val="007C038B"/>
    <w:rsid w:val="007D1A28"/>
    <w:rsid w:val="007D767E"/>
    <w:rsid w:val="007E0D37"/>
    <w:rsid w:val="007E267C"/>
    <w:rsid w:val="007F5822"/>
    <w:rsid w:val="00820DF0"/>
    <w:rsid w:val="00836835"/>
    <w:rsid w:val="00880269"/>
    <w:rsid w:val="008C1B55"/>
    <w:rsid w:val="008E4F9E"/>
    <w:rsid w:val="008F54A0"/>
    <w:rsid w:val="00912CC7"/>
    <w:rsid w:val="00931219"/>
    <w:rsid w:val="009322EB"/>
    <w:rsid w:val="0093342E"/>
    <w:rsid w:val="00955D0F"/>
    <w:rsid w:val="0098148F"/>
    <w:rsid w:val="009847B5"/>
    <w:rsid w:val="0099702E"/>
    <w:rsid w:val="009E4DC2"/>
    <w:rsid w:val="009E70DF"/>
    <w:rsid w:val="009F4D8E"/>
    <w:rsid w:val="00A0482F"/>
    <w:rsid w:val="00A13EAF"/>
    <w:rsid w:val="00A2213D"/>
    <w:rsid w:val="00A2231A"/>
    <w:rsid w:val="00A31A1F"/>
    <w:rsid w:val="00A40044"/>
    <w:rsid w:val="00A42615"/>
    <w:rsid w:val="00A55472"/>
    <w:rsid w:val="00A61AA6"/>
    <w:rsid w:val="00A7597B"/>
    <w:rsid w:val="00A964D7"/>
    <w:rsid w:val="00A96F03"/>
    <w:rsid w:val="00AA77A4"/>
    <w:rsid w:val="00AB0BB8"/>
    <w:rsid w:val="00AB35C0"/>
    <w:rsid w:val="00AD206B"/>
    <w:rsid w:val="00AD58FA"/>
    <w:rsid w:val="00AE5537"/>
    <w:rsid w:val="00AF46AC"/>
    <w:rsid w:val="00AF7BB1"/>
    <w:rsid w:val="00B04723"/>
    <w:rsid w:val="00B156FF"/>
    <w:rsid w:val="00B2719C"/>
    <w:rsid w:val="00B30930"/>
    <w:rsid w:val="00B427DC"/>
    <w:rsid w:val="00B44220"/>
    <w:rsid w:val="00B561C4"/>
    <w:rsid w:val="00B56B1E"/>
    <w:rsid w:val="00B7062C"/>
    <w:rsid w:val="00B75D18"/>
    <w:rsid w:val="00B7728D"/>
    <w:rsid w:val="00B817CD"/>
    <w:rsid w:val="00BE62CD"/>
    <w:rsid w:val="00BF1C26"/>
    <w:rsid w:val="00BF3A7E"/>
    <w:rsid w:val="00C03520"/>
    <w:rsid w:val="00C53E0B"/>
    <w:rsid w:val="00C5446E"/>
    <w:rsid w:val="00C92BD9"/>
    <w:rsid w:val="00C965A2"/>
    <w:rsid w:val="00CA187C"/>
    <w:rsid w:val="00CC69CF"/>
    <w:rsid w:val="00D03191"/>
    <w:rsid w:val="00D124B4"/>
    <w:rsid w:val="00D32549"/>
    <w:rsid w:val="00D56392"/>
    <w:rsid w:val="00D56E3C"/>
    <w:rsid w:val="00DA39ED"/>
    <w:rsid w:val="00DC551F"/>
    <w:rsid w:val="00DD38D4"/>
    <w:rsid w:val="00DD504A"/>
    <w:rsid w:val="00DD7CB7"/>
    <w:rsid w:val="00DE19DA"/>
    <w:rsid w:val="00DF3665"/>
    <w:rsid w:val="00DF7DE7"/>
    <w:rsid w:val="00E01DC9"/>
    <w:rsid w:val="00E0407C"/>
    <w:rsid w:val="00E0587B"/>
    <w:rsid w:val="00E34DA4"/>
    <w:rsid w:val="00E363C8"/>
    <w:rsid w:val="00E46654"/>
    <w:rsid w:val="00E46C37"/>
    <w:rsid w:val="00E619E0"/>
    <w:rsid w:val="00E639B9"/>
    <w:rsid w:val="00E64F69"/>
    <w:rsid w:val="00EA176C"/>
    <w:rsid w:val="00EA38BE"/>
    <w:rsid w:val="00EB5405"/>
    <w:rsid w:val="00EF4DEE"/>
    <w:rsid w:val="00F01A72"/>
    <w:rsid w:val="00F023F3"/>
    <w:rsid w:val="00F135DB"/>
    <w:rsid w:val="00F4767D"/>
    <w:rsid w:val="00F57175"/>
    <w:rsid w:val="00F65DB6"/>
    <w:rsid w:val="00F75FDB"/>
    <w:rsid w:val="00FA5939"/>
    <w:rsid w:val="00FB19DA"/>
    <w:rsid w:val="00FD307C"/>
    <w:rsid w:val="00FF36C2"/>
    <w:rsid w:val="02715699"/>
    <w:rsid w:val="028B36A9"/>
    <w:rsid w:val="02A10EFD"/>
    <w:rsid w:val="02F961D3"/>
    <w:rsid w:val="04C80BE4"/>
    <w:rsid w:val="04E1519B"/>
    <w:rsid w:val="05DB12E5"/>
    <w:rsid w:val="05E25CD6"/>
    <w:rsid w:val="06693D01"/>
    <w:rsid w:val="068D3662"/>
    <w:rsid w:val="06B47980"/>
    <w:rsid w:val="072350F7"/>
    <w:rsid w:val="07A75E3A"/>
    <w:rsid w:val="080B079F"/>
    <w:rsid w:val="087150EF"/>
    <w:rsid w:val="09C33728"/>
    <w:rsid w:val="0A3665F0"/>
    <w:rsid w:val="0B275F39"/>
    <w:rsid w:val="0BF537AE"/>
    <w:rsid w:val="0BF7590B"/>
    <w:rsid w:val="0E305F1D"/>
    <w:rsid w:val="0F0547E3"/>
    <w:rsid w:val="0F163B13"/>
    <w:rsid w:val="0F8A6A96"/>
    <w:rsid w:val="12F316F2"/>
    <w:rsid w:val="139F4658"/>
    <w:rsid w:val="14D507B4"/>
    <w:rsid w:val="162B134F"/>
    <w:rsid w:val="16B20DAC"/>
    <w:rsid w:val="17233A58"/>
    <w:rsid w:val="181E7091"/>
    <w:rsid w:val="18A230A3"/>
    <w:rsid w:val="18FF4051"/>
    <w:rsid w:val="1A024C0A"/>
    <w:rsid w:val="1AD51892"/>
    <w:rsid w:val="1AEB0D31"/>
    <w:rsid w:val="1C146536"/>
    <w:rsid w:val="1CEE4B08"/>
    <w:rsid w:val="1D4236A9"/>
    <w:rsid w:val="1F7A363B"/>
    <w:rsid w:val="1F7D2EAA"/>
    <w:rsid w:val="1FBF278C"/>
    <w:rsid w:val="21C86519"/>
    <w:rsid w:val="21F618A8"/>
    <w:rsid w:val="234075C7"/>
    <w:rsid w:val="23CA0312"/>
    <w:rsid w:val="244061E6"/>
    <w:rsid w:val="26CB6C26"/>
    <w:rsid w:val="290D27BA"/>
    <w:rsid w:val="29D82716"/>
    <w:rsid w:val="29F44D23"/>
    <w:rsid w:val="2A5C57A7"/>
    <w:rsid w:val="2B794137"/>
    <w:rsid w:val="2FFC5532"/>
    <w:rsid w:val="30DE0B94"/>
    <w:rsid w:val="31080201"/>
    <w:rsid w:val="3179279B"/>
    <w:rsid w:val="324A4137"/>
    <w:rsid w:val="331A3752"/>
    <w:rsid w:val="347C3F18"/>
    <w:rsid w:val="35280774"/>
    <w:rsid w:val="363666C8"/>
    <w:rsid w:val="368C5E8A"/>
    <w:rsid w:val="388D4D7E"/>
    <w:rsid w:val="39893DFD"/>
    <w:rsid w:val="3A3000B7"/>
    <w:rsid w:val="3CA56417"/>
    <w:rsid w:val="3DB42DAD"/>
    <w:rsid w:val="41A10269"/>
    <w:rsid w:val="41DA7286"/>
    <w:rsid w:val="41E41EB2"/>
    <w:rsid w:val="445F433A"/>
    <w:rsid w:val="45810446"/>
    <w:rsid w:val="45D85B67"/>
    <w:rsid w:val="47FD322E"/>
    <w:rsid w:val="48590C41"/>
    <w:rsid w:val="48C66B22"/>
    <w:rsid w:val="4B9C2868"/>
    <w:rsid w:val="4CF62AB6"/>
    <w:rsid w:val="4F680CEB"/>
    <w:rsid w:val="50D22EE7"/>
    <w:rsid w:val="523378C5"/>
    <w:rsid w:val="53034162"/>
    <w:rsid w:val="530F2054"/>
    <w:rsid w:val="53224DA7"/>
    <w:rsid w:val="53465272"/>
    <w:rsid w:val="53745029"/>
    <w:rsid w:val="53982AFD"/>
    <w:rsid w:val="540B7773"/>
    <w:rsid w:val="54CF42D8"/>
    <w:rsid w:val="560E387B"/>
    <w:rsid w:val="560F6FB2"/>
    <w:rsid w:val="57B20D21"/>
    <w:rsid w:val="5AD76600"/>
    <w:rsid w:val="5AE623A0"/>
    <w:rsid w:val="5B8A15A0"/>
    <w:rsid w:val="5C1F025F"/>
    <w:rsid w:val="5D1C75E3"/>
    <w:rsid w:val="5D5E6B65"/>
    <w:rsid w:val="5D7F6ADB"/>
    <w:rsid w:val="5EE16CB5"/>
    <w:rsid w:val="5EF656A8"/>
    <w:rsid w:val="605466A3"/>
    <w:rsid w:val="606B3266"/>
    <w:rsid w:val="60DA0BF8"/>
    <w:rsid w:val="615B12C7"/>
    <w:rsid w:val="625A2577"/>
    <w:rsid w:val="63326CB4"/>
    <w:rsid w:val="635903E7"/>
    <w:rsid w:val="63867545"/>
    <w:rsid w:val="65530F79"/>
    <w:rsid w:val="67C56CAA"/>
    <w:rsid w:val="685C5A87"/>
    <w:rsid w:val="690705CE"/>
    <w:rsid w:val="6AD2581B"/>
    <w:rsid w:val="6BEA3CBA"/>
    <w:rsid w:val="6C530A75"/>
    <w:rsid w:val="6C613F7C"/>
    <w:rsid w:val="6C7C7008"/>
    <w:rsid w:val="6DC92F3A"/>
    <w:rsid w:val="7310055E"/>
    <w:rsid w:val="740D27BD"/>
    <w:rsid w:val="742A3172"/>
    <w:rsid w:val="774C5829"/>
    <w:rsid w:val="77A027AE"/>
    <w:rsid w:val="78B15CB0"/>
    <w:rsid w:val="79FB1AE1"/>
    <w:rsid w:val="7A540C7C"/>
    <w:rsid w:val="7C013085"/>
    <w:rsid w:val="7DBD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qFormat="1" w:uiPriority="99" w:semiHidden="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8"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heme="minorEastAsia" w:cstheme="minorBidi"/>
      <w:kern w:val="2"/>
      <w:sz w:val="21"/>
      <w:szCs w:val="22"/>
      <w:lang w:val="en-US" w:eastAsia="zh-CN" w:bidi="ar-SA"/>
    </w:rPr>
  </w:style>
  <w:style w:type="paragraph" w:styleId="3">
    <w:name w:val="heading 3"/>
    <w:basedOn w:val="1"/>
    <w:next w:val="1"/>
    <w:semiHidden/>
    <w:qFormat/>
    <w:uiPriority w:val="0"/>
    <w:pPr>
      <w:keepNext/>
      <w:keepLines/>
      <w:spacing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4">
    <w:name w:val="index 6"/>
    <w:basedOn w:val="1"/>
    <w:next w:val="1"/>
    <w:unhideWhenUsed/>
    <w:qFormat/>
    <w:uiPriority w:val="99"/>
    <w:pPr>
      <w:jc w:val="center"/>
    </w:pPr>
    <w:rPr>
      <w:rFonts w:ascii="黑体" w:hAnsi="黑体" w:eastAsia="黑体" w:cs="微软雅黑"/>
      <w:sz w:val="36"/>
      <w:szCs w:val="36"/>
    </w:rPr>
  </w:style>
  <w:style w:type="paragraph" w:styleId="5">
    <w:name w:val="Body Text"/>
    <w:basedOn w:val="1"/>
    <w:next w:val="1"/>
    <w:semiHidden/>
    <w:qFormat/>
    <w:uiPriority w:val="98"/>
    <w:rPr>
      <w:rFonts w:ascii="方正仿宋_GB2312" w:eastAsia="方正仿宋_GB2312"/>
      <w:sz w:val="32"/>
    </w:rPr>
  </w:style>
  <w:style w:type="paragraph" w:styleId="6">
    <w:name w:val="Plain Text"/>
    <w:basedOn w:val="1"/>
    <w:link w:val="22"/>
    <w:qFormat/>
    <w:uiPriority w:val="0"/>
    <w:rPr>
      <w:rFonts w:ascii="宋体" w:hAnsi="Courier New" w:eastAsia="宋体"/>
      <w:szCs w:val="20"/>
    </w:rPr>
  </w:style>
  <w:style w:type="paragraph" w:styleId="7">
    <w:name w:val="Date"/>
    <w:basedOn w:val="1"/>
    <w:next w:val="1"/>
    <w:link w:val="19"/>
    <w:qFormat/>
    <w:uiPriority w:val="0"/>
    <w:pPr>
      <w:ind w:left="100" w:leftChars="2500"/>
    </w:pPr>
  </w:style>
  <w:style w:type="paragraph" w:styleId="8">
    <w:name w:val="Balloon Text"/>
    <w:basedOn w:val="1"/>
    <w:link w:val="18"/>
    <w:qFormat/>
    <w:uiPriority w:val="0"/>
    <w:rPr>
      <w:sz w:val="18"/>
      <w:szCs w:val="18"/>
    </w:rPr>
  </w:style>
  <w:style w:type="paragraph" w:styleId="9">
    <w:name w:val="footer"/>
    <w:basedOn w:val="1"/>
    <w:link w:val="17"/>
    <w:qFormat/>
    <w:uiPriority w:val="0"/>
    <w:pPr>
      <w:tabs>
        <w:tab w:val="center" w:pos="4153"/>
        <w:tab w:val="right" w:pos="8306"/>
      </w:tabs>
      <w:snapToGrid w:val="0"/>
      <w:jc w:val="left"/>
    </w:pPr>
    <w:rPr>
      <w:sz w:val="18"/>
      <w:szCs w:val="18"/>
    </w:rPr>
  </w:style>
  <w:style w:type="paragraph" w:styleId="10">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rFonts w:eastAsia="宋体" w:cs="Times New Roman"/>
      <w:kern w:val="0"/>
      <w:sz w:val="24"/>
      <w:szCs w:val="24"/>
    </w:rPr>
  </w:style>
  <w:style w:type="paragraph" w:customStyle="1" w:styleId="14">
    <w:name w:val="列出段落1"/>
    <w:basedOn w:val="1"/>
    <w:qFormat/>
    <w:uiPriority w:val="0"/>
    <w:pPr>
      <w:ind w:firstLine="420" w:firstLineChars="200"/>
    </w:pPr>
  </w:style>
  <w:style w:type="paragraph" w:customStyle="1" w:styleId="15">
    <w:name w:val="列出段落2"/>
    <w:basedOn w:val="1"/>
    <w:qFormat/>
    <w:uiPriority w:val="34"/>
    <w:pPr>
      <w:ind w:firstLine="420" w:firstLineChars="200"/>
    </w:pPr>
    <w:rPr>
      <w:rFonts w:eastAsia="宋体" w:cs="Times New Roman"/>
    </w:rPr>
  </w:style>
  <w:style w:type="character" w:customStyle="1" w:styleId="16">
    <w:name w:val="页眉 字符"/>
    <w:basedOn w:val="13"/>
    <w:link w:val="10"/>
    <w:qFormat/>
    <w:uiPriority w:val="99"/>
    <w:rPr>
      <w:rFonts w:ascii="Calibri" w:hAnsi="Calibri"/>
      <w:kern w:val="2"/>
      <w:sz w:val="18"/>
      <w:szCs w:val="18"/>
    </w:rPr>
  </w:style>
  <w:style w:type="character" w:customStyle="1" w:styleId="17">
    <w:name w:val="页脚 字符"/>
    <w:basedOn w:val="13"/>
    <w:link w:val="9"/>
    <w:qFormat/>
    <w:uiPriority w:val="0"/>
    <w:rPr>
      <w:rFonts w:ascii="Calibri" w:hAnsi="Calibri"/>
      <w:kern w:val="2"/>
      <w:sz w:val="18"/>
      <w:szCs w:val="18"/>
    </w:rPr>
  </w:style>
  <w:style w:type="character" w:customStyle="1" w:styleId="18">
    <w:name w:val="批注框文本 字符"/>
    <w:basedOn w:val="13"/>
    <w:link w:val="8"/>
    <w:qFormat/>
    <w:uiPriority w:val="0"/>
    <w:rPr>
      <w:rFonts w:ascii="Calibri" w:hAnsi="Calibri"/>
      <w:kern w:val="2"/>
      <w:sz w:val="18"/>
      <w:szCs w:val="18"/>
    </w:rPr>
  </w:style>
  <w:style w:type="character" w:customStyle="1" w:styleId="19">
    <w:name w:val="日期 字符"/>
    <w:basedOn w:val="13"/>
    <w:link w:val="7"/>
    <w:qFormat/>
    <w:uiPriority w:val="0"/>
    <w:rPr>
      <w:rFonts w:ascii="Calibri" w:hAnsi="Calibri"/>
      <w:kern w:val="2"/>
      <w:sz w:val="21"/>
      <w:szCs w:val="22"/>
    </w:rPr>
  </w:style>
  <w:style w:type="paragraph" w:customStyle="1" w:styleId="20">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styleId="21">
    <w:name w:val="List Paragraph"/>
    <w:basedOn w:val="1"/>
    <w:unhideWhenUsed/>
    <w:qFormat/>
    <w:uiPriority w:val="99"/>
    <w:pPr>
      <w:ind w:firstLine="420" w:firstLineChars="200"/>
    </w:pPr>
  </w:style>
  <w:style w:type="character" w:customStyle="1" w:styleId="22">
    <w:name w:val="纯文本 字符"/>
    <w:link w:val="6"/>
    <w:qFormat/>
    <w:uiPriority w:val="0"/>
    <w:rPr>
      <w:rFonts w:ascii="宋体" w:hAnsi="Courier New" w:eastAsia="宋体"/>
      <w:kern w:val="2"/>
      <w:sz w:val="21"/>
    </w:rPr>
  </w:style>
  <w:style w:type="character" w:customStyle="1" w:styleId="23">
    <w:name w:val="纯文本 字符1"/>
    <w:basedOn w:val="13"/>
    <w:semiHidden/>
    <w:qFormat/>
    <w:uiPriority w:val="0"/>
    <w:rPr>
      <w:rFonts w:hAnsi="Courier New" w:cs="Courier New" w:asciiTheme="minorEastAsia"/>
      <w:kern w:val="2"/>
      <w:sz w:val="21"/>
      <w:szCs w:val="22"/>
    </w:rPr>
  </w:style>
  <w:style w:type="paragraph" w:customStyle="1" w:styleId="24">
    <w:name w:val="Table Paragraph"/>
    <w:basedOn w:val="1"/>
    <w:qFormat/>
    <w:uiPriority w:val="1"/>
    <w:rPr>
      <w:rFonts w:ascii="Calibri" w:hAnsi="Calibri" w:eastAsia="宋体" w:cs="Times New Roman"/>
      <w:szCs w:val="22"/>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二）级标题"/>
    <w:basedOn w:val="6"/>
    <w:qFormat/>
    <w:uiPriority w:val="2"/>
    <w:pPr>
      <w:numPr>
        <w:ilvl w:val="0"/>
        <w:numId w:val="1"/>
      </w:numPr>
      <w:spacing w:line="360" w:lineRule="auto"/>
      <w:outlineLvl w:val="2"/>
    </w:pPr>
    <w:rPr>
      <w:b/>
    </w:rPr>
  </w:style>
  <w:style w:type="paragraph" w:customStyle="1" w:styleId="27">
    <w:name w:val="一级标题"/>
    <w:basedOn w:val="6"/>
    <w:qFormat/>
    <w:uiPriority w:val="1"/>
    <w:pPr>
      <w:numPr>
        <w:ilvl w:val="0"/>
        <w:numId w:val="2"/>
      </w:numPr>
      <w:spacing w:line="360" w:lineRule="auto"/>
      <w:ind w:left="420"/>
      <w:outlineLvl w:val="1"/>
    </w:pPr>
    <w:rPr>
      <w:rFonts w:ascii="黑体" w:eastAsia="黑体"/>
      <w:b/>
      <w:bCs/>
      <w:sz w:val="28"/>
    </w:rPr>
  </w:style>
  <w:style w:type="paragraph" w:customStyle="1" w:styleId="28">
    <w:name w:val="标书正文"/>
    <w:basedOn w:val="6"/>
    <w:qFormat/>
    <w:uiPriority w:val="9"/>
    <w:pPr>
      <w:spacing w:line="360" w:lineRule="auto"/>
      <w:jc w:val="left"/>
    </w:pPr>
  </w:style>
  <w:style w:type="paragraph" w:customStyle="1" w:styleId="29">
    <w:name w:val="（4）级标题"/>
    <w:basedOn w:val="6"/>
    <w:qFormat/>
    <w:uiPriority w:val="8"/>
    <w:pPr>
      <w:numPr>
        <w:ilvl w:val="0"/>
        <w:numId w:val="3"/>
      </w:numPr>
      <w:spacing w:line="360" w:lineRule="auto"/>
      <w:outlineLvl w:val="4"/>
    </w:pPr>
  </w:style>
  <w:style w:type="character" w:customStyle="1" w:styleId="30">
    <w:name w:val="font31"/>
    <w:basedOn w:val="13"/>
    <w:qFormat/>
    <w:uiPriority w:val="0"/>
    <w:rPr>
      <w:rFonts w:ascii="宋体" w:hAnsi="宋体" w:eastAsia="宋体" w:cs="宋体"/>
      <w:b/>
      <w:bCs/>
      <w:color w:val="000000"/>
      <w:sz w:val="22"/>
      <w:szCs w:val="22"/>
      <w:u w:val="none"/>
    </w:rPr>
  </w:style>
  <w:style w:type="character" w:customStyle="1" w:styleId="31">
    <w:name w:val="font41"/>
    <w:basedOn w:val="13"/>
    <w:qFormat/>
    <w:uiPriority w:val="0"/>
    <w:rPr>
      <w:rFonts w:hint="default" w:ascii="Times New Roman" w:hAnsi="Times New Roman" w:cs="Times New Roman"/>
      <w:color w:val="000000"/>
      <w:sz w:val="21"/>
      <w:szCs w:val="21"/>
      <w:u w:val="none"/>
    </w:rPr>
  </w:style>
  <w:style w:type="character" w:customStyle="1" w:styleId="32">
    <w:name w:val="font51"/>
    <w:basedOn w:val="13"/>
    <w:qFormat/>
    <w:uiPriority w:val="0"/>
    <w:rPr>
      <w:rFonts w:ascii="宋体" w:hAnsi="宋体" w:eastAsia="宋体" w:cs="宋体"/>
      <w:color w:val="000000"/>
      <w:sz w:val="22"/>
      <w:szCs w:val="22"/>
      <w:u w:val="none"/>
    </w:rPr>
  </w:style>
  <w:style w:type="paragraph" w:customStyle="1" w:styleId="33">
    <w:name w:val="章节"/>
    <w:basedOn w:val="6"/>
    <w:qFormat/>
    <w:uiPriority w:val="0"/>
    <w:pPr>
      <w:spacing w:line="360" w:lineRule="auto"/>
      <w:jc w:val="center"/>
      <w:outlineLvl w:val="0"/>
    </w:pPr>
    <w:rPr>
      <w:rFonts w:ascii="黑体" w:eastAsia="黑体"/>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26</Pages>
  <Words>6557</Words>
  <Characters>6966</Characters>
  <Lines>29</Lines>
  <Paragraphs>8</Paragraphs>
  <TotalTime>5</TotalTime>
  <ScaleCrop>false</ScaleCrop>
  <LinksUpToDate>false</LinksUpToDate>
  <CharactersWithSpaces>6997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2021-04-07T08:30:00Z</dcterms:created>
  <dc:creator>Administrator</dc:creator>
  <cp:lastModifiedBy>灰色与青</cp:lastModifiedBy>
  <cp:lastPrinted>2016-08-03T06:26:00Z</cp:lastPrinted>
  <dcterms:modified xsi:type="dcterms:W3CDTF">2026-10-13T10:03:40Z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882322A9E5F24FF29606B427DF07DABE_13</vt:lpwstr>
  </property>
  <property fmtid="{D5CDD505-2E9C-101B-9397-08002B2CF9AE}" pid="4" name="KSOTemplateDocerSaveRecord">
    <vt:lpwstr>eyJoZGlkIjoiN2UwOWQwOWU4M2YzYjc0YmY3NzliN2RlNTliN2NlOTUiLCJ1c2VySWQiOiI1Nzg5NzI1MzYifQ==</vt:lpwstr>
  </property>
</Properties>
</file>